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drawing>
          <wp:inline distT="0" distB="0" distL="0" distR="0">
            <wp:extent cx="1485900" cy="1357613"/>
            <wp:effectExtent l="0" t="0" r="0" b="0"/>
            <wp:docPr id="101" name="Compass Cas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logo.png"/>
                    <pic:cNvPicPr/>
                  </pic:nvPicPr>
                  <pic:blipFill>
                    <a:blip r:embed="rId7"/>
                    <a:stretch>
                      <a:fillRect/>
                    </a:stretch>
                  </pic:blipFill>
                  <pic:spPr>
                    <a:xfrm>
                      <a:off x="0" y="0"/>
                      <a:ext cx="1485900" cy="1357613"/>
                    </a:xfrm>
                    <a:prstGeom prst="rect">
                      <a:avLst/>
                    </a:prstGeom>
                  </pic:spPr>
                </pic:pic>
              </a:graphicData>
            </a:graphic>
          </wp:inline>
        </w:drawing>
      </w:r>
    </w:p>
    <w:p>
      <w:pPr>
        <w:spacing w:after="80"/>
      </w:pPr>
      <w:r>
        <w:rPr>
          <w:rFonts w:ascii="Arial" w:cs="Arial" w:eastAsia="Arial" w:hAnsi="Arial"/>
          <w:b/>
          <w:bCs/>
          <w:color w:val="1F3864"/>
          <w:sz w:val="34"/>
          <w:szCs w:val="34"/>
        </w:rPr>
        <w:t xml:space="preserve">Case One: Jordan’s Red Eye</w:t>
      </w:r>
    </w:p>
    <w:p>
      <w:pPr>
        <w:spacing w:after="60"/>
      </w:pPr>
      <w:r>
        <w:rPr>
          <w:rFonts w:ascii="Arial" w:cs="Arial" w:eastAsia="Arial" w:hAnsi="Arial"/>
          <w:i/>
          <w:iCs/>
          <w:color w:val="2E75B6"/>
          <w:sz w:val="26"/>
          <w:szCs w:val="26"/>
        </w:rPr>
        <w:t xml:space="preserve">“The Eye That Wouldn’t Clear Up”</w:t>
      </w:r>
    </w:p>
    <w:p>
      <w:pPr>
        <w:spacing w:after="60"/>
      </w:pPr>
      <w:r>
        <w:rPr>
          <w:rFonts w:ascii="Arial" w:cs="Arial" w:eastAsia="Arial" w:hAnsi="Arial"/>
          <w:sz w:val="22"/>
          <w:szCs w:val="22"/>
        </w:rPr>
        <w:t xml:space="preserve">A Pre-Health Career Exploration Curriculum</w:t>
      </w:r>
    </w:p>
    <w:p>
      <w:pPr>
        <w:spacing w:after="360"/>
      </w:pPr>
      <w:r>
        <w:rPr>
          <w:rFonts w:ascii="Arial" w:cs="Arial" w:eastAsia="Arial" w:hAnsi="Arial"/>
          <w:color w:val="666666"/>
          <w:sz w:val="20"/>
          <w:szCs w:val="20"/>
        </w:rPr>
        <w:t xml:space="preserve">Pre-Health Career Exploration Series  ·  Compass Cases  ·  Stanford University</w:t>
      </w:r>
    </w:p>
    <w:p>
      <w:pPr>
        <w:pBdr>
          <w:bottom w:val="single" w:color="2E75B6" w:sz="6" w:space="1"/>
        </w:pBdr>
        <w:spacing w:before="0" w:after="0"/>
      </w:pPr>
      <w:r>
        <w:t xml:space="preserve"/>
      </w:r>
    </w:p>
    <w:p>
      <w:pPr>
        <w:spacing w:after="80"/>
      </w:pPr>
      <w:r>
        <w:t xml:space="preserve"/>
      </w:r>
    </w:p>
    <w:p>
      <w:pPr>
        <w:spacing w:after="80"/>
      </w:pPr>
      <w:r>
        <w:t xml:space="preserve"/>
      </w:r>
    </w:p>
    <w:p>
      <w:pPr>
        <w:spacing w:after="120"/>
      </w:pPr>
      <w:r>
        <w:rPr>
          <w:rFonts w:ascii="Arial" w:cs="Arial" w:eastAsia="Arial" w:hAnsi="Arial"/>
          <w:b/>
          <w:bCs/>
          <w:caps/>
          <w:color w:val="888888"/>
          <w:sz w:val="18"/>
          <w:szCs w:val="18"/>
        </w:rPr>
        <w:t xml:space="preserve">Part One</w:t>
      </w:r>
    </w:p>
    <w:p>
      <w:pPr>
        <w:pStyle w:val="Heading1"/>
        <w:spacing w:before="480" w:after="240"/>
      </w:pPr>
      <w:r>
        <w:rPr>
          <w:rFonts w:ascii="Arial" w:cs="Arial" w:eastAsia="Arial" w:hAnsi="Arial"/>
          <w:b/>
          <w:bCs/>
          <w:color w:val="1F3864"/>
          <w:sz w:val="32"/>
          <w:szCs w:val="32"/>
        </w:rPr>
        <w:t xml:space="preserve">Executive Briefing for Academic Partners</w:t>
      </w:r>
    </w:p>
    <w:p>
      <w:pPr>
        <w:pBdr>
          <w:bottom w:val="single" w:color="2E75B6" w:sz="6" w:space="1"/>
        </w:pBdr>
        <w:spacing w:before="0" w:after="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Project Rationale</w:t>
      </w:r>
    </w:p>
    <w:p>
      <w:pPr>
        <w:spacing w:after="180"/>
      </w:pPr>
      <w:r>
        <w:rPr>
          <w:rFonts w:ascii="Arial" w:cs="Arial" w:eastAsia="Arial" w:hAnsi="Arial"/>
          <w:sz w:val="22"/>
          <w:szCs w:val="22"/>
        </w:rPr>
        <w:t xml:space="preserve">Pre-health education in the United States has a persistent gap. Students drawn to healthcare rarely encounter the full range of clinical careers until they are already deep into graduate training, often years and considerable tuition dollars later. At the high school and college level, most students can name a handful of roles: physician, nurse, therapist. The rest of the healthcare workforce – including pharmacy technicians, genetic counselors, medical lab scientists, social workers, radiologic technologists, and physical therapists – remains largely invisible during the years when career exploration matters most. By the time students discover these paths, many have already committed to a different direction. The problem was never a lack of interest. These students cared about healthcare from the start; what they lacked was a map. This curriculum initiative is designed to close that gap before it opens, giving students a map of the full healthcare landscape during the years when it can still shape their choices.</w:t>
      </w:r>
    </w:p>
    <w:p>
      <w:pPr>
        <w:spacing w:after="180"/>
      </w:pPr>
      <w:r>
        <w:rPr>
          <w:rFonts w:ascii="Arial" w:cs="Arial" w:eastAsia="Arial" w:hAnsi="Arial"/>
          <w:sz w:val="22"/>
          <w:szCs w:val="22"/>
        </w:rPr>
        <w:t xml:space="preserve">The model has two connected phases. In the first, students engage independently with a series of AI-enabled clinical cases on the Compass Cases platform. Each case introduces a different patient story and a different cluster of healthcare careers, building curiosity, vocabulary, and genuine questions in the student before any human interaction takes place. In the second phase, students meet in a small-group session with a panel of mentors representing careers across the health professions. Because students arrive having already explored the cases, those conversations are richer and more specific. The mentor session becomes a continuation of something already begun, not a cold introduction. The AI platform does the work of sparking curiosity; the in-person session does the work of deepening it.</w:t>
      </w:r>
    </w:p>
    <w:p>
      <w:pPr>
        <w:spacing w:after="180"/>
      </w:pPr>
      <w:r>
        <w:rPr>
          <w:rFonts w:ascii="Arial" w:cs="Arial" w:eastAsia="Arial" w:hAnsi="Arial"/>
          <w:sz w:val="22"/>
          <w:szCs w:val="22"/>
        </w:rPr>
        <w:t xml:space="preserve">Compass Cases is the platform that makes the first phase possible. Its AI-enabled, case-based architecture allows students to explore a medically authentic clinical scenario from the perspective of multiple members of the care team, asking questions freely, following their curiosity wherever it leads, and encountering careers they may never have thought to seek out on their own. Each case in the series is built around a different diagnosis and a different patient, designed to surface a distinct set of healthcare roles while maintaining the same standard of clinical and human authenticity.</w:t>
      </w:r>
    </w:p>
    <w:p>
      <w:pPr>
        <w:spacing w:after="180"/>
      </w:pPr>
      <w:r>
        <w:rPr>
          <w:rFonts w:ascii="Arial" w:cs="Arial" w:eastAsia="Arial" w:hAnsi="Arial"/>
          <w:sz w:val="22"/>
          <w:szCs w:val="22"/>
        </w:rPr>
        <w:t xml:space="preserve">This case, ‘The Eye That Wouldn’t Clear Up,’ is the first in this series. It follows Jordan Chen, a 20-year-old college student whose red eye turns out to be anterior uveitis with an underlying diagnosis of early ankylosing spondylitis. This dual diagnosis creates a natural, clinically grounded reason for students to encounter healthcare providers spanning every educational level from short certificate programs to doctoral training, and many work settings from the ambulance to the research laboratory.</w:t>
      </w:r>
    </w:p>
    <w:p>
      <w:pPr>
        <w:spacing w:after="180"/>
      </w:pPr>
      <w:r>
        <w:rPr>
          <w:rFonts w:ascii="Arial" w:cs="Arial" w:eastAsia="Arial" w:hAnsi="Arial"/>
          <w:sz w:val="22"/>
          <w:szCs w:val="22"/>
        </w:rPr>
        <w:t xml:space="preserve">Critically, this case was not built by educators working alone. A structured co-creation process brought together three groups whose perspectives are woven into every layer of the platform. First, a patient and family members with lived experience of navigating a complex chronic diagnosis contributed to how Jordan’s story is told. Second, clinicians representing different healthcare careers in the case reviewed the dialogue scripts and career profiles for accuracy and professional authenticity. Their input is why this platform can claim to represent real careers rather than idealized ones.</w:t>
      </w:r>
    </w:p>
    <w:p>
      <w:pPr>
        <w:spacing w:after="80"/>
      </w:pPr>
      <w:r>
        <w:t xml:space="preserve"/>
      </w:r>
    </w:p>
    <w:p>
      <w:pPr>
        <w:pStyle w:val="Heading2"/>
        <w:spacing w:before="360" w:after="180"/>
      </w:pPr>
      <w:r>
        <w:rPr>
          <w:rFonts w:ascii="Arial" w:cs="Arial" w:eastAsia="Arial" w:hAnsi="Arial"/>
          <w:b/>
          <w:bCs/>
          <w:color w:val="2E75B6"/>
          <w:sz w:val="28"/>
          <w:szCs w:val="28"/>
        </w:rPr>
        <w:t xml:space="preserve">The Case Design Philosophy</w:t>
      </w:r>
    </w:p>
    <w:p>
      <w:pPr>
        <w:spacing w:after="180"/>
      </w:pPr>
      <w:r>
        <w:rPr>
          <w:rFonts w:ascii="Arial" w:cs="Arial" w:eastAsia="Arial" w:hAnsi="Arial"/>
          <w:sz w:val="22"/>
          <w:szCs w:val="22"/>
        </w:rPr>
        <w:t xml:space="preserve">Four principles guided the design of this case:</w:t>
      </w:r>
    </w:p>
    <w:p>
      <w:pPr>
        <w:pStyle w:val="ListParagraph"/>
        <w:numPr>
          <w:ilvl w:val="0"/>
          <w:numId w:val="2"/>
        </w:numPr>
        <w:spacing w:after="140"/>
      </w:pPr>
      <w:r>
        <w:rPr>
          <w:rFonts w:ascii="Arial" w:cs="Arial" w:eastAsia="Arial" w:hAnsi="Arial"/>
          <w:sz w:val="22"/>
          <w:szCs w:val="22"/>
        </w:rPr>
        <w:t xml:space="preserve">Clinical authenticity first. The findings, test results, medications, and procedures in this case are medically accurate. The case was developed by a physician educator with direct experience in clinical medicine and medical education. Students engaging with this case are learning real medicine, not a simplified or softened version of it.</w:t>
      </w:r>
    </w:p>
    <w:p>
      <w:pPr>
        <w:pStyle w:val="ListParagraph"/>
        <w:numPr>
          <w:ilvl w:val="0"/>
          <w:numId w:val="2"/>
        </w:numPr>
        <w:spacing w:after="140"/>
      </w:pPr>
      <w:r>
        <w:rPr>
          <w:rFonts w:ascii="Arial" w:cs="Arial" w:eastAsia="Arial" w:hAnsi="Arial"/>
          <w:sz w:val="22"/>
          <w:szCs w:val="22"/>
        </w:rPr>
        <w:t xml:space="preserve">Maximum career exposure per case. The dual diagnosis of uveitis and ankylosing spondylitis was selected because it generates genuine, clinically necessary encounters with an unusually large number of healthcare providers. No clinician in this case appears for pedagogical convenience. Each one is present because a real patient with these conditions would need them.</w:t>
      </w:r>
    </w:p>
    <w:p>
      <w:pPr>
        <w:pStyle w:val="ListParagraph"/>
        <w:numPr>
          <w:ilvl w:val="0"/>
          <w:numId w:val="2"/>
        </w:numPr>
        <w:spacing w:after="140"/>
      </w:pPr>
      <w:r>
        <w:rPr>
          <w:rFonts w:ascii="Arial" w:cs="Arial" w:eastAsia="Arial" w:hAnsi="Arial"/>
          <w:sz w:val="22"/>
          <w:szCs w:val="22"/>
        </w:rPr>
        <w:t xml:space="preserve">Whole patient, whole family. Jordan’s case includes his family history, the psychosocial weight of receiving a chronic diagnosis in college, financial concerns, and the question of what to tell his parents. This design ensures that providers who address the human context of illness – including social workers, genetic counselors, and dietitians – have substantive and meaningful roles rather than peripheral ones.</w:t>
      </w:r>
    </w:p>
    <w:p>
      <w:pPr>
        <w:pStyle w:val="ListParagraph"/>
        <w:numPr>
          <w:ilvl w:val="0"/>
          <w:numId w:val="2"/>
        </w:numPr>
        <w:spacing w:after="140"/>
      </w:pPr>
      <w:r>
        <w:rPr>
          <w:rFonts w:ascii="Arial" w:cs="Arial" w:eastAsia="Arial" w:hAnsi="Arial"/>
          <w:sz w:val="22"/>
          <w:szCs w:val="22"/>
        </w:rPr>
        <w:t xml:space="preserve">Co-created with real voices. This case was built in collaboration with the people it is about. A patient and family members with lived experience of chronic illness contributed to how Jordan’s story is told. A practitioner representing each healthcare career reviewed their encounter dialogue and career profile for accuracy and professional authenticity. Co-creation is not a finishing step in this process. It is foundational to it.</w:t>
      </w:r>
    </w:p>
    <w:p>
      <w:pPr>
        <w:spacing w:after="80"/>
      </w:pPr>
      <w:r>
        <w:t xml:space="preserve"/>
      </w:r>
    </w:p>
    <w:p>
      <w:pPr>
        <w:pStyle w:val="Heading2"/>
        <w:spacing w:before="360" w:after="180"/>
      </w:pPr>
      <w:r>
        <w:rPr>
          <w:rFonts w:ascii="Arial" w:cs="Arial" w:eastAsia="Arial" w:hAnsi="Arial"/>
          <w:b/>
          <w:bCs/>
          <w:color w:val="2E75B6"/>
          <w:sz w:val="28"/>
          <w:szCs w:val="28"/>
        </w:rPr>
        <w:t xml:space="preserve">How a Pre-Health Student Enters and Navigates the Case</w:t>
      </w:r>
    </w:p>
    <w:p>
      <w:pPr>
        <w:spacing w:after="180"/>
      </w:pPr>
      <w:r>
        <w:rPr>
          <w:rFonts w:ascii="Arial" w:cs="Arial" w:eastAsia="Arial" w:hAnsi="Arial"/>
          <w:sz w:val="22"/>
          <w:szCs w:val="22"/>
        </w:rPr>
        <w:t xml:space="preserve">Students access the case through the Compass Cases platform. The entry experience is designed to establish engagement through narrative rather than didactic instruction.</w:t>
      </w:r>
    </w:p>
    <w:p>
      <w:pPr>
        <w:spacing w:after="180"/>
      </w:pPr>
      <w:r>
        <w:rPr>
          <w:rFonts w:ascii="Arial" w:cs="Arial" w:eastAsia="Arial" w:hAnsi="Arial"/>
          <w:sz w:val="22"/>
          <w:szCs w:val="22"/>
        </w:rPr>
        <w:t xml:space="preserve">Upon entering, the student reads a brief opening scenario: Jordan Chen, a college sophomore, calls his campus urgent care because his left eye has been red for three days and is getting worse despite OTC eye drops. Today he woke up with significant light sensitivity and blurry vision. His roommate, concerned, called campus emergency services.</w:t>
      </w:r>
    </w:p>
    <w:p>
      <w:pPr>
        <w:spacing w:after="180"/>
      </w:pPr>
      <w:r>
        <w:rPr>
          <w:rFonts w:ascii="Arial" w:cs="Arial" w:eastAsia="Arial" w:hAnsi="Arial"/>
          <w:sz w:val="22"/>
          <w:szCs w:val="22"/>
        </w:rPr>
        <w:t xml:space="preserve">From this entry point, the student has free-form agency to engage with the case. They can:</w:t>
      </w:r>
    </w:p>
    <w:p>
      <w:pPr>
        <w:pStyle w:val="ListParagraph"/>
        <w:numPr>
          <w:ilvl w:val="0"/>
          <w:numId w:val="2"/>
        </w:numPr>
        <w:spacing w:after="140"/>
      </w:pPr>
      <w:r>
        <w:rPr>
          <w:rFonts w:ascii="Arial" w:cs="Arial" w:eastAsia="Arial" w:hAnsi="Arial"/>
          <w:sz w:val="22"/>
          <w:szCs w:val="22"/>
        </w:rPr>
        <w:t xml:space="preserve">Ask to speak with any member of the care team; the AI platform responds in the voice of that clinician</w:t>
      </w:r>
    </w:p>
    <w:p>
      <w:pPr>
        <w:pStyle w:val="ListParagraph"/>
        <w:numPr>
          <w:ilvl w:val="0"/>
          <w:numId w:val="2"/>
        </w:numPr>
        <w:spacing w:after="140"/>
      </w:pPr>
      <w:r>
        <w:rPr>
          <w:rFonts w:ascii="Arial" w:cs="Arial" w:eastAsia="Arial" w:hAnsi="Arial"/>
          <w:sz w:val="22"/>
          <w:szCs w:val="22"/>
        </w:rPr>
        <w:t xml:space="preserve">Request clinical data: vital signs, physical exam findings, lab results, imaging reports</w:t>
      </w:r>
    </w:p>
    <w:p>
      <w:pPr>
        <w:pStyle w:val="ListParagraph"/>
        <w:numPr>
          <w:ilvl w:val="0"/>
          <w:numId w:val="2"/>
        </w:numPr>
        <w:spacing w:after="140"/>
      </w:pPr>
      <w:r>
        <w:rPr>
          <w:rFonts w:ascii="Arial" w:cs="Arial" w:eastAsia="Arial" w:hAnsi="Arial"/>
          <w:sz w:val="22"/>
          <w:szCs w:val="22"/>
        </w:rPr>
        <w:t xml:space="preserve">Pursue any line of clinical reasoning they wish; the platform rewards correct thinking and gently redirects incorrect assumptions</w:t>
      </w:r>
    </w:p>
    <w:p>
      <w:pPr>
        <w:pStyle w:val="ListParagraph"/>
        <w:numPr>
          <w:ilvl w:val="0"/>
          <w:numId w:val="2"/>
        </w:numPr>
        <w:spacing w:after="140"/>
      </w:pPr>
      <w:r>
        <w:rPr>
          <w:rFonts w:ascii="Arial" w:cs="Arial" w:eastAsia="Arial" w:hAnsi="Arial"/>
          <w:sz w:val="22"/>
          <w:szCs w:val="22"/>
        </w:rPr>
        <w:t xml:space="preserve">Ask career-focused questions; each clinician is prepared to explain their training, their scope of practice, and what a typical day looks like</w:t>
      </w:r>
    </w:p>
    <w:p>
      <w:pPr>
        <w:pStyle w:val="ListParagraph"/>
        <w:numPr>
          <w:ilvl w:val="0"/>
          <w:numId w:val="2"/>
        </w:numPr>
        <w:spacing w:after="140"/>
      </w:pPr>
      <w:r>
        <w:rPr>
          <w:rFonts w:ascii="Arial" w:cs="Arial" w:eastAsia="Arial" w:hAnsi="Arial"/>
          <w:sz w:val="22"/>
          <w:szCs w:val="22"/>
        </w:rPr>
        <w:t xml:space="preserve">Return to earlier points in the case or jump ahead to later stages of Jordan’s care</w:t>
      </w:r>
    </w:p>
    <w:p>
      <w:pPr>
        <w:spacing w:after="80"/>
      </w:pPr>
      <w:r>
        <w:t xml:space="preserve"/>
      </w:r>
    </w:p>
    <w:p>
      <w:pPr>
        <w:spacing w:after="180"/>
      </w:pPr>
      <w:r>
        <w:rPr>
          <w:rFonts w:ascii="Arial" w:cs="Arial" w:eastAsia="Arial" w:hAnsi="Arial"/>
          <w:sz w:val="22"/>
          <w:szCs w:val="22"/>
        </w:rPr>
        <w:t xml:space="preserve">The platform does not grade students or require correct answers. It rewards curiosity. A student who asks the EMT about paramedic training receives as rich and valuable a response as one who asks the ophthalmologist about uveitis pathophysiology. The platform is explicitly non-hierarchical in its treatment of healthcare careers.</w:t>
      </w:r>
    </w:p>
    <w:p>
      <w:pPr>
        <w:spacing w:after="180"/>
      </w:pPr>
      <w:r>
        <w:rPr>
          <w:rFonts w:ascii="Arial" w:cs="Arial" w:eastAsia="Arial" w:hAnsi="Arial"/>
          <w:sz w:val="22"/>
          <w:szCs w:val="22"/>
        </w:rPr>
        <w:t xml:space="preserve">Part Two of this document contains the full case content: fourteen immersive Shadow Tracks that place students inside the encounters of fourteen different professionals across Jordan’s care, plus dialogue scripts for the additional providers in Jordan’s extended care team. Each track includes representative student questions with clinician responses to illustrate the kinds of conversations the platform supports.</w:t>
      </w:r>
    </w:p>
    <w:p>
      <w:pPr>
        <w:spacing w:after="80"/>
      </w:pPr>
      <w:r>
        <w:t xml:space="preserve"/>
      </w:r>
    </w:p>
    <w:p>
      <w:pPr>
        <w:pStyle w:val="Heading2"/>
        <w:spacing w:before="360" w:after="180"/>
      </w:pPr>
      <w:r>
        <w:rPr>
          <w:rFonts w:ascii="Arial" w:cs="Arial" w:eastAsia="Arial" w:hAnsi="Arial"/>
          <w:b/>
          <w:bCs/>
          <w:color w:val="2E75B6"/>
          <w:sz w:val="28"/>
          <w:szCs w:val="28"/>
        </w:rPr>
        <w:t xml:space="preserve">Illustrative Student Journeys</w:t>
      </w:r>
    </w:p>
    <w:p>
      <w:pPr>
        <w:pStyle w:val="Heading3"/>
        <w:spacing w:before="240" w:after="120"/>
      </w:pPr>
      <w:r>
        <w:rPr>
          <w:rFonts w:ascii="Arial" w:cs="Arial" w:eastAsia="Arial" w:hAnsi="Arial"/>
          <w:b/>
          <w:bCs/>
          <w:sz w:val="24"/>
          <w:szCs w:val="24"/>
        </w:rPr>
        <w:t xml:space="preserve">Example One: The Student Who Wants to Be a Doctor and Discovers Rheumatology</w:t>
      </w:r>
    </w:p>
    <w:p>
      <w:pPr>
        <w:spacing w:after="180"/>
      </w:pPr>
      <w:r>
        <w:rPr>
          <w:rFonts w:ascii="Arial" w:cs="Arial" w:eastAsia="Arial" w:hAnsi="Arial"/>
          <w:sz w:val="22"/>
          <w:szCs w:val="22"/>
        </w:rPr>
        <w:t xml:space="preserve">A first-year college student, pre-med, enters the case assuming she will focus on the physician encounters. She speaks with the urgent care physician first and is surprised to find that the clinician ordered the HLA-B27 test and made the referral decision with such speed. She probes: how did you know to connect the eye and the back? She learns about whole-patient clinical reasoning.</w:t>
      </w:r>
    </w:p>
    <w:p>
      <w:pPr>
        <w:spacing w:after="180"/>
      </w:pPr>
      <w:r>
        <w:rPr>
          <w:rFonts w:ascii="Arial" w:cs="Arial" w:eastAsia="Arial" w:hAnsi="Arial"/>
          <w:sz w:val="22"/>
          <w:szCs w:val="22"/>
        </w:rPr>
        <w:t xml:space="preserve">She then moves to the ophthalmologist, her assumed destination. She learns about the slit lamp findings, the uveitis diagnosis, and the treatment plan. But then she asks: why does uveitis happen with back pain? The ophthalmologist’s response points her toward rheumatology.</w:t>
      </w:r>
    </w:p>
    <w:p>
      <w:pPr>
        <w:spacing w:after="180"/>
      </w:pPr>
      <w:r>
        <w:rPr>
          <w:rFonts w:ascii="Arial" w:cs="Arial" w:eastAsia="Arial" w:hAnsi="Arial"/>
          <w:sz w:val="22"/>
          <w:szCs w:val="22"/>
        </w:rPr>
        <w:t xml:space="preserve">The rheumatology encounter surprises her. She had never considered this field. She learns that rheumatologists manage diseases affecting every organ system at once, that they develop decade-long relationships with patients, and that the science underlying biologic therapy is among the most sophisticated in clinical medicine. She asks how to become a rheumatologist and receives a detailed response about medical school, internal medicine residency, and fellowship.</w:t>
      </w:r>
    </w:p>
    <w:p>
      <w:pPr>
        <w:spacing w:after="180"/>
      </w:pPr>
      <w:r>
        <w:rPr>
          <w:rFonts w:ascii="Arial" w:cs="Arial" w:eastAsia="Arial" w:hAnsi="Arial"/>
          <w:sz w:val="22"/>
          <w:szCs w:val="22"/>
        </w:rPr>
        <w:t xml:space="preserve">She ends the session by completing the Career Compass, which ranks rheumatologist as her top match but also surfaces medical lab scientist and genetic counselor, two careers she had never considered. She asks the platform what a genetic counselor does and spends another twenty minutes exploring a career she will ultimately pursue.</w:t>
      </w:r>
    </w:p>
    <w:p>
      <w:pPr>
        <w:spacing w:after="80"/>
      </w:pPr>
      <w:r>
        <w:t xml:space="preserve"/>
      </w:r>
    </w:p>
    <w:p>
      <w:pPr>
        <w:pStyle w:val="Heading3"/>
        <w:spacing w:before="240" w:after="120"/>
      </w:pPr>
      <w:r>
        <w:rPr>
          <w:rFonts w:ascii="Arial" w:cs="Arial" w:eastAsia="Arial" w:hAnsi="Arial"/>
          <w:b/>
          <w:bCs/>
          <w:sz w:val="24"/>
          <w:szCs w:val="24"/>
        </w:rPr>
        <w:t xml:space="preserve">Example Two: The High School Student Who Didn’t Think She Was Smart Enough for Healthcare</w:t>
      </w:r>
    </w:p>
    <w:p>
      <w:pPr>
        <w:spacing w:after="180"/>
      </w:pPr>
      <w:r>
        <w:rPr>
          <w:rFonts w:ascii="Arial" w:cs="Arial" w:eastAsia="Arial" w:hAnsi="Arial"/>
          <w:sz w:val="22"/>
          <w:szCs w:val="22"/>
        </w:rPr>
        <w:t xml:space="preserve">A high school junior attends a university-sponsored pre-health day where Compass Cases is available on a tablet. She is interested in healthcare but has been told by a school counselor that medicine requires a lot of school, which she is not sure she wants to pursue. She enters the case skeptically.</w:t>
      </w:r>
    </w:p>
    <w:p>
      <w:pPr>
        <w:spacing w:after="180"/>
      </w:pPr>
      <w:r>
        <w:rPr>
          <w:rFonts w:ascii="Arial" w:cs="Arial" w:eastAsia="Arial" w:hAnsi="Arial"/>
          <w:sz w:val="22"/>
          <w:szCs w:val="22"/>
        </w:rPr>
        <w:t xml:space="preserve">She starts with the EMT, drawn by the opening scenario. She is surprised to learn that EMT certification takes six months and that paramedic training is one to two years. She asks what an EMT earns, what a typical shift looks like, and whether this is a real healthcare career or just a stepping stone. The platform’s EMT responds honestly: it is both – a complete career path and a foundation for advancement if she wants it.</w:t>
      </w:r>
    </w:p>
    <w:p>
      <w:pPr>
        <w:spacing w:after="180"/>
      </w:pPr>
      <w:r>
        <w:rPr>
          <w:rFonts w:ascii="Arial" w:cs="Arial" w:eastAsia="Arial" w:hAnsi="Arial"/>
          <w:sz w:val="22"/>
          <w:szCs w:val="22"/>
        </w:rPr>
        <w:t xml:space="preserve">She then explores the medical assistant encounter and finds the clinical depth of the MA’s role more substantial than she expected. She moves on to the pharmacist and learns about how a two-minute conversation at a pharmacy counter changed the entire trajectory of Jordan’s morning.</w:t>
      </w:r>
    </w:p>
    <w:p>
      <w:pPr>
        <w:spacing w:after="180"/>
      </w:pPr>
      <w:r>
        <w:rPr>
          <w:rFonts w:ascii="Arial" w:cs="Arial" w:eastAsia="Arial" w:hAnsi="Arial"/>
          <w:sz w:val="22"/>
          <w:szCs w:val="22"/>
        </w:rPr>
        <w:t xml:space="preserve">By the end of her session, she has found three careers she had not previously known existed. Each requires one to two years of training, offers stable employment and competitive wages, and involves genuine clinical work. She leaves with a Career Compass result she is excited about and a list of community college programs to look into.</w:t>
      </w:r>
    </w:p>
    <w:p>
      <w:pPr>
        <w:spacing w:after="180"/>
      </w:pPr>
      <w:r>
        <w:rPr>
          <w:rFonts w:ascii="Arial" w:cs="Arial" w:eastAsia="Arial" w:hAnsi="Arial"/>
          <w:sz w:val="22"/>
          <w:szCs w:val="22"/>
        </w:rPr>
        <w:t xml:space="preserve">These two journeys illustrate the platform’s range. It serves the pre-med student at a selective university and the high school student who had no idea careers like these existed. Both leave with a clearer sense of who they might become.</w:t>
      </w:r>
    </w:p>
    <w:p>
      <w:pPr>
        <w:spacing w:after="80"/>
      </w:pPr>
      <w:r>
        <w:t xml:space="preserve"/>
      </w:r>
    </w:p>
    <w:p>
      <w:pPr>
        <w:pStyle w:val="Heading2"/>
        <w:spacing w:before="360" w:after="180"/>
      </w:pPr>
      <w:r>
        <w:rPr>
          <w:rFonts w:ascii="Arial" w:cs="Arial" w:eastAsia="Arial" w:hAnsi="Arial"/>
          <w:b/>
          <w:bCs/>
          <w:color w:val="2E75B6"/>
          <w:sz w:val="28"/>
          <w:szCs w:val="28"/>
        </w:rPr>
        <w:t xml:space="preserve">Partnership Opportunity and Vision for Co-Development</w:t>
      </w:r>
    </w:p>
    <w:p>
      <w:pPr>
        <w:spacing w:after="180"/>
      </w:pPr>
      <w:r>
        <w:rPr>
          <w:rFonts w:ascii="Arial" w:cs="Arial" w:eastAsia="Arial" w:hAnsi="Arial"/>
          <w:sz w:val="22"/>
          <w:szCs w:val="22"/>
        </w:rPr>
        <w:t xml:space="preserve">Compass Cases represents an opportunity to build a shared pre-health curriculum infrastructure serving students across institutions with varying academic profiles and career aspirations. A partnership between clinical education innovators and motivated academic institutions could:</w:t>
      </w:r>
    </w:p>
    <w:p>
      <w:pPr>
        <w:pStyle w:val="ListParagraph"/>
        <w:numPr>
          <w:ilvl w:val="0"/>
          <w:numId w:val="2"/>
        </w:numPr>
        <w:spacing w:after="140"/>
      </w:pPr>
      <w:r>
        <w:rPr>
          <w:rFonts w:ascii="Arial" w:cs="Arial" w:eastAsia="Arial" w:hAnsi="Arial"/>
          <w:sz w:val="22"/>
          <w:szCs w:val="22"/>
        </w:rPr>
        <w:t xml:space="preserve">Expand the case series beyond Jordan’s case to include additional patients, diagnoses, and populations, each designed to surface a different cluster of healthcare careers and pair naturally with a corresponding mentor panel</w:t>
      </w:r>
    </w:p>
    <w:p>
      <w:pPr>
        <w:pStyle w:val="ListParagraph"/>
        <w:numPr>
          <w:ilvl w:val="0"/>
          <w:numId w:val="2"/>
        </w:numPr>
        <w:spacing w:after="140"/>
      </w:pPr>
      <w:r>
        <w:rPr>
          <w:rFonts w:ascii="Arial" w:cs="Arial" w:eastAsia="Arial" w:hAnsi="Arial"/>
          <w:sz w:val="22"/>
          <w:szCs w:val="22"/>
        </w:rPr>
        <w:t xml:space="preserve">Integrate career data – salary ranges, employment outlook, regional variation, licensure requirements – that is updated annually</w:t>
      </w:r>
    </w:p>
    <w:p>
      <w:pPr>
        <w:pStyle w:val="ListParagraph"/>
        <w:numPr>
          <w:ilvl w:val="0"/>
          <w:numId w:val="2"/>
        </w:numPr>
        <w:spacing w:after="140"/>
      </w:pPr>
      <w:r>
        <w:rPr>
          <w:rFonts w:ascii="Arial" w:cs="Arial" w:eastAsia="Arial" w:hAnsi="Arial"/>
          <w:sz w:val="22"/>
          <w:szCs w:val="22"/>
        </w:rPr>
        <w:t xml:space="preserve">Develop faculty facilitation guides for use in pre-health advising programs, intro biology courses, or health careers exploration classes</w:t>
      </w:r>
    </w:p>
    <w:p>
      <w:pPr>
        <w:pStyle w:val="ListParagraph"/>
        <w:numPr>
          <w:ilvl w:val="0"/>
          <w:numId w:val="2"/>
        </w:numPr>
        <w:spacing w:after="140"/>
      </w:pPr>
      <w:r>
        <w:rPr>
          <w:rFonts w:ascii="Arial" w:cs="Arial" w:eastAsia="Arial" w:hAnsi="Arial"/>
          <w:sz w:val="22"/>
          <w:szCs w:val="22"/>
        </w:rPr>
        <w:t xml:space="preserve">Build assessment instruments that measure career awareness, clinical reasoning development, and attitudinal change over time</w:t>
      </w:r>
    </w:p>
    <w:p>
      <w:pPr>
        <w:pStyle w:val="ListParagraph"/>
        <w:numPr>
          <w:ilvl w:val="0"/>
          <w:numId w:val="2"/>
        </w:numPr>
        <w:spacing w:after="140"/>
      </w:pPr>
      <w:r>
        <w:rPr>
          <w:rFonts w:ascii="Arial" w:cs="Arial" w:eastAsia="Arial" w:hAnsi="Arial"/>
          <w:sz w:val="22"/>
          <w:szCs w:val="22"/>
        </w:rPr>
        <w:t xml:space="preserve">Create pathways from Compass Cases engagement to real-world shadowing, mentorship, and pipeline programs</w:t>
      </w:r>
    </w:p>
    <w:p>
      <w:pPr>
        <w:spacing w:after="80"/>
      </w:pPr>
      <w:r>
        <w:t xml:space="preserve"/>
      </w:r>
    </w:p>
    <w:p>
      <w:pPr>
        <w:spacing w:after="180"/>
      </w:pPr>
      <w:r>
        <w:rPr>
          <w:rFonts w:ascii="Arial" w:cs="Arial" w:eastAsia="Arial" w:hAnsi="Arial"/>
          <w:sz w:val="22"/>
          <w:szCs w:val="22"/>
        </w:rPr>
        <w:t xml:space="preserve">The vision is a curriculum that meets students at the first moment they wonder whether healthcare is for them, walks them through a series of cases that expand what they think is possible, and then brings them into a room with real clinicians and practitioners who can answer the questions the platform helped them form.</w:t>
      </w:r>
    </w:p>
    <w:p>
      <w:pPr>
        <w:spacing w:after="80"/>
      </w:pPr>
      <w:r>
        <w:t xml:space="preserve"/>
      </w:r>
    </w:p>
    <w:p>
      <w:pPr>
        <w:spacing w:after="80"/>
      </w:pPr>
      <w:r>
        <w:t xml:space="preserve"/>
      </w:r>
    </w:p>
    <w:p>
      <w:r>
        <w:br w:type="page"/>
      </w:r>
    </w:p>
    <w:p>
      <w:pPr>
        <w:spacing w:after="120"/>
      </w:pPr>
      <w:r>
        <w:rPr>
          <w:rFonts w:ascii="Arial" w:cs="Arial" w:eastAsia="Arial" w:hAnsi="Arial"/>
          <w:b/>
          <w:bCs/>
          <w:caps/>
          <w:color w:val="888888"/>
          <w:sz w:val="18"/>
          <w:szCs w:val="18"/>
        </w:rPr>
        <w:t xml:space="preserve">Part Two</w:t>
      </w:r>
    </w:p>
    <w:p>
      <w:pPr>
        <w:pStyle w:val="Heading1"/>
        <w:spacing w:before="480" w:after="240"/>
      </w:pPr>
      <w:r>
        <w:rPr>
          <w:rFonts w:ascii="Arial" w:cs="Arial" w:eastAsia="Arial" w:hAnsi="Arial"/>
          <w:b/>
          <w:bCs/>
          <w:color w:val="1F3864"/>
          <w:sz w:val="32"/>
          <w:szCs w:val="32"/>
        </w:rPr>
        <w:t xml:space="preserve">The Case</w:t>
      </w:r>
    </w:p>
    <w:p>
      <w:pPr>
        <w:pBdr>
          <w:bottom w:val="single" w:color="2E75B6" w:sz="6" w:space="1"/>
        </w:pBdr>
        <w:spacing w:before="0" w:after="0"/>
      </w:pPr>
      <w:r>
        <w:t xml:space="preserve"/>
      </w:r>
    </w:p>
    <w:p>
      <w:pPr>
        <w:spacing w:after="80"/>
      </w:pPr>
      <w:r>
        <w:t xml:space="preserve"/>
      </w:r>
    </w:p>
    <w:p>
      <w:pPr>
        <w:spacing w:after="180"/>
      </w:pPr>
      <w:r>
        <w:rPr>
          <w:rFonts w:ascii="Arial" w:cs="Arial" w:eastAsia="Arial" w:hAnsi="Arial"/>
          <w:sz w:val="22"/>
          <w:szCs w:val="22"/>
        </w:rPr>
        <w:t xml:space="preserve">Part Two contains the full immersive case content. It is organized in two tiers. Tier One places students inside seven direct clinical encounters, in roughly the order they happen in real life. Tier Two places students inside the systems, science, and infrastructure that made Jordan’s care possible.</w:t>
      </w:r>
    </w:p>
    <w:p>
      <w:pPr>
        <w:spacing w:after="180"/>
      </w:pPr>
      <w:r>
        <w:rPr>
          <w:rFonts w:ascii="Arial" w:cs="Arial" w:eastAsia="Arial" w:hAnsi="Arial"/>
          <w:sz w:val="22"/>
          <w:szCs w:val="22"/>
        </w:rPr>
        <w:t xml:space="preserve">Each Shadow Track follows the same structure: Observation moments (what you see as you shadow this clinician), Decision prompts (what would you do?), and Reveal moments (what the clinician actually does, and why). At the end of each track, Ask the Clinician presents representative questions students have asked this type of clinician, with full responses. These questions illustrate the kinds of conversations the Compass Cases platform supports and can also serve as a pre-session preparation guide for students meeting mentors in person.</w:t>
      </w:r>
    </w:p>
    <w:p>
      <w:pPr>
        <w:spacing w:after="180"/>
      </w:pPr>
      <w:r>
        <w:rPr>
          <w:rFonts w:ascii="Arial" w:cs="Arial" w:eastAsia="Arial" w:hAnsi="Arial"/>
          <w:sz w:val="22"/>
          <w:szCs w:val="22"/>
        </w:rPr>
        <w:t xml:space="preserve">After the fourteen Shadow Tracks, an Additional Providers section contains full Q&amp;A dialogues for the other members of Jordan’s extended care team – the nurse practitioner, physical therapist, infusion nurse, social worker, dietitian, genetic counselor, radiologic technologist, radiologist, pharmacy technician, medical lab scientist, and optometrist – who appear in Jordan’s care but are not among the fourteen shadow tracks.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EDF5FF" w:val="clear"/>
            <w:tcMar>
              <w:top w:type="dxa" w:w="140"/>
              <w:left w:type="dxa" w:w="200"/>
              <w:bottom w:type="dxa" w:w="140"/>
              <w:right w:type="dxa" w:w="200"/>
            </w:tcMar>
          </w:tcPr>
          <w:p>
            <w:pPr>
              <w:spacing w:after="180"/>
            </w:pPr>
            <w:r>
              <w:rPr>
                <w:rFonts w:ascii="Arial" w:cs="Arial" w:eastAsia="Arial" w:hAnsi="Arial"/>
                <w:b/>
                <w:bCs/>
                <w:sz w:val="22"/>
                <w:szCs w:val="22"/>
              </w:rPr>
              <w:t xml:space="preserve">Entry scenario</w:t>
            </w:r>
          </w:p>
          <w:p>
            <w:pPr>
              <w:spacing w:after="180"/>
            </w:pPr>
            <w:r>
              <w:rPr>
                <w:rFonts w:ascii="Arial" w:cs="Arial" w:eastAsia="Arial" w:hAnsi="Arial"/>
                <w:sz w:val="22"/>
                <w:szCs w:val="22"/>
              </w:rPr>
              <w:t xml:space="preserve">Jordan Chen, a 20-year-old college sophomore, calls his campus urgent care because his left eye has been red for three days and is getting worse despite OTC eye drops. This morning he woke up with significant light sensitivity and blurry vision. His roommate, concerned, called campus emergency services. You are about to enter his story.</w:t>
            </w:r>
          </w:p>
        </w:tc>
      </w:tr>
    </w:tbl>
    <w:p>
      <w:pPr>
        <w:spacing w:after="80"/>
      </w:pPr>
      <w:r>
        <w:t xml:space="preserve"/>
      </w:r>
    </w:p>
    <w:p>
      <w:pPr>
        <w:spacing w:after="80"/>
      </w:pPr>
      <w:r>
        <w:t xml:space="preserve"/>
      </w:r>
    </w:p>
    <w:p>
      <w:pPr>
        <w:spacing w:after="120"/>
      </w:pPr>
      <w:r>
        <w:rPr>
          <w:rFonts w:ascii="Arial" w:cs="Arial" w:eastAsia="Arial" w:hAnsi="Arial"/>
          <w:b/>
          <w:bCs/>
          <w:color w:val="1F3864"/>
          <w:sz w:val="30"/>
          <w:szCs w:val="30"/>
        </w:rPr>
        <w:t xml:space="preserve">Tier One: In the Room with Jordan</w:t>
      </w:r>
    </w:p>
    <w:p>
      <w:pPr>
        <w:spacing w:after="180"/>
      </w:pPr>
      <w:r>
        <w:rPr>
          <w:rFonts w:ascii="Arial" w:cs="Arial" w:eastAsia="Arial" w:hAnsi="Arial"/>
          <w:sz w:val="22"/>
          <w:szCs w:val="22"/>
        </w:rPr>
        <w:t xml:space="preserve">The seven tracks below place you inside direct clinical encounters. Each happens in real time, beside a clinician working with Jordan. The same patient. Seven completely different professional lenses.</w:t>
      </w:r>
    </w:p>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 Emergency Medical Technician (EMT)</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9:47 a.m. Location: Jordan’s dormitory room, third floor. Jordan’s roommate Marcus has called 911 after Jordan woke up saying he couldn’t see properly out of his left eye and that the light from the window was unbearable.</w:t>
            </w:r>
          </w:p>
          <w:p>
            <w:pPr>
              <w:spacing w:after="180"/>
            </w:pPr>
            <w:r>
              <w:rPr>
                <w:rFonts w:ascii="Arial" w:cs="Arial" w:eastAsia="Arial" w:hAnsi="Arial"/>
                <w:sz w:val="22"/>
                <w:szCs w:val="22"/>
              </w:rPr>
              <w:t xml:space="preserve">You are shadowing Devon, an EMT-Basic with two years of experience on a university campus EMS unit. You and your partner climb the stairs with a trauma bag and a portable vital signs kit. Marcus meets you at the door.</w:t>
            </w:r>
          </w:p>
          <w:p>
            <w:pPr>
              <w:spacing w:after="180"/>
              <w:ind w:left="720"/>
            </w:pPr>
            <w:r>
              <w:rPr>
                <w:rFonts w:ascii="Arial" w:cs="Arial" w:eastAsia="Arial" w:hAnsi="Arial"/>
                <w:b/>
                <w:bCs/>
                <w:sz w:val="22"/>
                <w:szCs w:val="22"/>
              </w:rPr>
              <w:t xml:space="preserve">Marcus says says:</w:t>
            </w:r>
            <w:r>
              <w:rPr>
                <w:rFonts w:ascii="Arial" w:cs="Arial" w:eastAsia="Arial" w:hAnsi="Arial"/>
                <w:i/>
                <w:iCs/>
                <w:sz w:val="22"/>
                <w:szCs w:val="22"/>
              </w:rPr>
              <w:t xml:space="preserve"> “He’s been like this since yesterday, but this morning it got a lot worse. He won’t open the curtains.”</w:t>
            </w:r>
          </w:p>
        </w:tc>
      </w:tr>
    </w:tbl>
    <w:p>
      <w:pPr>
        <w:spacing w:after="80"/>
      </w:pPr>
      <w:r>
        <w:t xml:space="preserve"/>
      </w:r>
    </w:p>
    <w:p>
      <w:pPr>
        <w:pStyle w:val="Heading3"/>
        <w:spacing w:before="240" w:after="120"/>
      </w:pPr>
      <w:r>
        <w:rPr>
          <w:rFonts w:ascii="Arial" w:cs="Arial" w:eastAsia="Arial" w:hAnsi="Arial"/>
          <w:b/>
          <w:bCs/>
          <w:sz w:val="24"/>
          <w:szCs w:val="24"/>
        </w:rPr>
        <w:t xml:space="preserve">Moment 1: Scene Size-Up</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Before Devon says a word to Jordan, you watch him scan the room. He clocks the Visine bottle on the desk, the empty coffee cups, Jordan’s posture (hunched, arm over his eyes), the absence of any pill bottles, alcohol, or signs of trauma. He does all of this in about four seconds.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Scene size-up is the first thing EMTs are trained to do. Before any assessment, you establish: is this scene safe? Is there a mechanism of injury? What does the environment tell me that the patient hasn’t said yet? The Visine bottle tells Devon that Jordan tried to treat this himself. Jordan’s posture tells him that photophobia is real and significant.</w:t>
            </w:r>
          </w:p>
        </w:tc>
      </w:tr>
    </w:tbl>
    <w:p>
      <w:pPr>
        <w:spacing w:after="80"/>
      </w:pPr>
      <w:r>
        <w:t xml:space="preserve"/>
      </w:r>
    </w:p>
    <w:p>
      <w:pPr>
        <w:pStyle w:val="Heading3"/>
        <w:spacing w:before="240" w:after="120"/>
      </w:pPr>
      <w:r>
        <w:rPr>
          <w:rFonts w:ascii="Arial" w:cs="Arial" w:eastAsia="Arial" w:hAnsi="Arial"/>
          <w:b/>
          <w:bCs/>
          <w:sz w:val="24"/>
          <w:szCs w:val="24"/>
        </w:rPr>
        <w:t xml:space="preserve">Moment 2: Primary Assessment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Devon crouches to Jordan’s eye level. He introduces himself, speaks quietly because of the light sensitivity, and runs through his primary survey in under ninety seconds: airway clear, breathing normal, radial pulse present and regular, skin warm and dry. He shines a penlight briefly at Jordan’s eyes from an angle, watching the pupils rather than the corneas.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Devon checks Jordan’s pupils and notices the left one is smaller than the right and reacts more slowly to light. What does Devon do with this finding?</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Document it and move on – a sluggish pupil is common in eye complaints</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Treat it as a potential neurological emergency and prepare for immediate transport</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Flag it as significant but continue gathering information before making a transport decision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Devon does and why:</w:t>
            </w:r>
            <w:r>
              <w:rPr>
                <w:rFonts w:ascii="Arial" w:cs="Arial" w:eastAsia="Arial" w:hAnsi="Arial"/>
                <w:sz w:val="22"/>
                <w:szCs w:val="22"/>
              </w:rPr>
              <w:t xml:space="preserve"> Devon chooses C. An asymmetric, sluggish pupil can mean many things, ranging from a benign local eye problem to a life-threatening neurological event. He does not dismiss it, but he also does not immediately escalate to a lights-and-sirens transport without gathering more. This is a core EMT skill: holding clinical uncertainty without either over-reacting or under-reacting.</w:t>
            </w:r>
          </w:p>
        </w:tc>
      </w:tr>
    </w:tbl>
    <w:p>
      <w:pPr>
        <w:spacing w:after="80"/>
      </w:pPr>
      <w:r>
        <w:t xml:space="preserve"/>
      </w:r>
    </w:p>
    <w:p>
      <w:pPr>
        <w:pStyle w:val="Heading3"/>
        <w:spacing w:before="240" w:after="120"/>
      </w:pPr>
      <w:r>
        <w:rPr>
          <w:rFonts w:ascii="Arial" w:cs="Arial" w:eastAsia="Arial" w:hAnsi="Arial"/>
          <w:b/>
          <w:bCs/>
          <w:sz w:val="24"/>
          <w:szCs w:val="24"/>
        </w:rPr>
        <w:t xml:space="preserve">Moment 3: Focused History – OPQRST and SAMPLE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Devon pulls out a small notepad and runs through two structured questioning frameworks: OPQRST (Onset, Provocation, Quality, Radiation, Severity, Time) for the chief complaint, and SAMPLE (Signs and symptoms, Allergies, Medications, Pertinent history, Last oral intake, Events leading up) for background.</w:t>
      </w:r>
    </w:p>
    <w:p>
      <w:pPr>
        <w:spacing w:after="180"/>
        <w:ind w:left="720"/>
      </w:pPr>
      <w:r>
        <w:rPr>
          <w:rFonts w:ascii="Arial" w:cs="Arial" w:eastAsia="Arial" w:hAnsi="Arial"/>
          <w:b/>
          <w:bCs/>
          <w:sz w:val="22"/>
          <w:szCs w:val="22"/>
        </w:rPr>
        <w:t xml:space="preserve">Jordan says says:</w:t>
      </w:r>
      <w:r>
        <w:rPr>
          <w:rFonts w:ascii="Arial" w:cs="Arial" w:eastAsia="Arial" w:hAnsi="Arial"/>
          <w:i/>
          <w:iCs/>
          <w:sz w:val="22"/>
          <w:szCs w:val="22"/>
        </w:rPr>
        <w:t xml:space="preserve"> “It started three days ago. I thought it was pink eye so I got eye drops. The light is the worst part. And my vision is blurry on the left. No allergies. No medications. I don’t have any medical conditions.”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Devon now has the key facts. The combination of photophobia, blurred vision, ciliary pattern of redness, and a sluggish irregular pupil points toward something inside the eye rather than on its surface. What does Devon recommend?</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Transport by ambulance to the emergency department</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Strongly advise Jordan to go to urgent care today – right now</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Tell Jordan it’s probably nothing serious and to follow up with his doctor this week</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Devon does and why:</w:t>
            </w:r>
            <w:r>
              <w:rPr>
                <w:rFonts w:ascii="Arial" w:cs="Arial" w:eastAsia="Arial" w:hAnsi="Arial"/>
                <w:sz w:val="22"/>
                <w:szCs w:val="22"/>
              </w:rPr>
              <w:t xml:space="preserve"> Devon chooses B. Jordan’s airway, breathing, and circulation are intact; he is alert and oriented; vital signs are normal. But this is absolutely not a ‘wait and see’ situation. Devon advises urgent care today, explains his concern about the pupil finding without alarming Jordan unnecessarily, and documents his assessment and advice.</w:t>
            </w:r>
          </w:p>
        </w:tc>
      </w:tr>
    </w:tbl>
    <w:p>
      <w:pPr>
        <w:spacing w:after="80"/>
      </w:pPr>
      <w:r>
        <w:t xml:space="preserve"/>
      </w:r>
    </w:p>
    <w:p>
      <w:pPr>
        <w:pStyle w:val="Heading3"/>
        <w:spacing w:before="240" w:after="120"/>
      </w:pPr>
      <w:r>
        <w:rPr>
          <w:rFonts w:ascii="Arial" w:cs="Arial" w:eastAsia="Arial" w:hAnsi="Arial"/>
          <w:b/>
          <w:bCs/>
          <w:sz w:val="24"/>
          <w:szCs w:val="24"/>
        </w:rPr>
        <w:t xml:space="preserve">Moment 4: Vital Signs and Documentation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Devon’s partner takes a full set of vitals: BP 118/72, HR 82, RR 14, SpO2 99%, temperature 98.6. Devon types his narrative note on a tablet. The patient care report he writes is a legal document – if Jordan’s condition deteriorates later, this record is the account of what happened this morning.</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do you actually know when someone needs the hospital right away versus urgent care?</w:t>
            </w:r>
          </w:p>
          <w:p>
            <w:pPr>
              <w:spacing w:after="180"/>
            </w:pPr>
            <w:r>
              <w:rPr>
                <w:rFonts w:ascii="Arial" w:cs="Arial" w:eastAsia="Arial" w:hAnsi="Arial"/>
                <w:sz w:val="22"/>
                <w:szCs w:val="22"/>
              </w:rPr>
              <w:t xml:space="preserve">It comes down to whether the patient’s basic physiology is intact. I’m always asking: is the airway clear? Is breathing normal? Is the circulation working – good pulse, normal blood pressure, normal skin? If any of those are compromised, we’re going to the hospital fast. If those are intact, I have more latitude. With Jordan, everything physiological was stable – but the combination of a sluggish pupil and vision changes told me this needed to be seen today, not next week. The transport vs. refer decision is the EMT’s central clinical contribution.</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drew you to being an EMT, and where does this career go?</w:t>
            </w:r>
          </w:p>
          <w:p>
            <w:pPr>
              <w:spacing w:after="180"/>
            </w:pPr>
            <w:r>
              <w:rPr>
                <w:rFonts w:ascii="Arial" w:cs="Arial" w:eastAsia="Arial" w:hAnsi="Arial"/>
                <w:sz w:val="22"/>
                <w:szCs w:val="22"/>
              </w:rPr>
              <w:t xml:space="preserve">For me it was the immediacy – you’re there at the moment that matters most. EMT-Basic certification takes about six months. Paramedic training is one to two years. Some people build a full career at this level; others use it as a foundation toward nursing, PA school, or medicine. Both paths are real. EMT work gives you clinical exposure that’s genuinely hard to get any other way – and it teaches you to function under pressure in environments that have nothing to do with a controlled exam room.</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Emergency Medical Technician</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EMT-Basic certificate (6 months) or Paramedic associate degree (1–2 years). National Registry certification required.</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EMTs make high-stakes clinical judgments with minimal tools, minimal time, and no backup diagnostics. Devon’s twelve-minute dorm room assessment is where the cascade of correct decisions begins.</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want to enter healthcare quickly, you thrive under pressure, you want a role where your decisions are immediate and consequential, and you value the intimacy of meeting patients at their most vulnerable moments.</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2: Medical Assistant (MA)</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11:15 a.m. Location: Stanford University Urgent Care clinic. You are shadowing Diego, a Certified Medical Assistant who has worked at this clinic for three years.</w:t>
            </w:r>
          </w:p>
          <w:p>
            <w:pPr>
              <w:spacing w:after="180"/>
            </w:pPr>
            <w:r>
              <w:rPr>
                <w:rFonts w:ascii="Arial" w:cs="Arial" w:eastAsia="Arial" w:hAnsi="Arial"/>
                <w:sz w:val="22"/>
                <w:szCs w:val="22"/>
              </w:rPr>
              <w:t xml:space="preserve">Diego pulls Jordan’s name from the queue. He walks to the waiting room with a warm, unhurried manner, calls Jordan’s name, and leads him to exam room 3.</w:t>
            </w:r>
          </w:p>
        </w:tc>
      </w:tr>
    </w:tbl>
    <w:p>
      <w:pPr>
        <w:spacing w:after="80"/>
      </w:pPr>
      <w:r>
        <w:t xml:space="preserve"/>
      </w:r>
    </w:p>
    <w:p>
      <w:pPr>
        <w:pStyle w:val="Heading3"/>
        <w:spacing w:before="240" w:after="120"/>
      </w:pPr>
      <w:r>
        <w:rPr>
          <w:rFonts w:ascii="Arial" w:cs="Arial" w:eastAsia="Arial" w:hAnsi="Arial"/>
          <w:b/>
          <w:bCs/>
          <w:sz w:val="24"/>
          <w:szCs w:val="24"/>
        </w:rPr>
        <w:t xml:space="preserve">Moment 1: Rooming the Patient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Diego closes the exam room door, introduces himself, and begins rooming Jordan: blood pressure cuff, exam table, electronic health record open. He asks Jordan to confirm his date of birth and address.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The rooming process is not administrative filler. It is the MA’s clinical window. In the two to three minutes it takes to take vitals, Diego is also watching: Is Jordan in pain? Is he anxious? Does he look sick? These observations go into his mental model of the patient before he has asked a single clinical question.</w:t>
            </w:r>
          </w:p>
        </w:tc>
      </w:tr>
    </w:tbl>
    <w:p>
      <w:pPr>
        <w:spacing w:after="80"/>
      </w:pPr>
      <w:r>
        <w:t xml:space="preserve"/>
      </w:r>
    </w:p>
    <w:p>
      <w:pPr>
        <w:pStyle w:val="Heading3"/>
        <w:spacing w:before="240" w:after="120"/>
      </w:pPr>
      <w:r>
        <w:rPr>
          <w:rFonts w:ascii="Arial" w:cs="Arial" w:eastAsia="Arial" w:hAnsi="Arial"/>
          <w:b/>
          <w:bCs/>
          <w:sz w:val="24"/>
          <w:szCs w:val="24"/>
        </w:rPr>
        <w:t xml:space="preserve">Moment 2: Chief Complaint and Vitals</w:t>
      </w:r>
    </w:p>
    <w:p>
      <w:pPr>
        <w:spacing w:after="180"/>
        <w:ind w:left="720"/>
      </w:pPr>
      <w:r>
        <w:rPr>
          <w:rFonts w:ascii="Arial" w:cs="Arial" w:eastAsia="Arial" w:hAnsi="Arial"/>
          <w:b/>
          <w:bCs/>
          <w:sz w:val="22"/>
          <w:szCs w:val="22"/>
        </w:rPr>
        <w:t xml:space="preserve">Jordan says says:</w:t>
      </w:r>
      <w:r>
        <w:rPr>
          <w:rFonts w:ascii="Arial" w:cs="Arial" w:eastAsia="Arial" w:hAnsi="Arial"/>
          <w:i/>
          <w:iCs/>
          <w:sz w:val="22"/>
          <w:szCs w:val="22"/>
        </w:rPr>
        <w:t xml:space="preserve"> “My eye has been red for three days and it keeps getting worse. I’ve been using eye drops but they’re not doing anything. This morning I woke up and I could barely open it because of the light.”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Diego types the chief complaint verbatim, then asks Jordan to extend his arm for blood pressure. As he wraps the cuff, he notices Jordan is squinting at the overhead light. He reaches up without comment and dims it slightly. Jordan’s shoulders visibly relax.</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Diego records vitals: BP 116/70, HR 78, Temp 98.6, RR 14, SpO2 99%, pain score 6/10. He now needs to record Jordan’s medication list. Jordan says he takes nothing. What does Diego do next?</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Accept the answer and move on</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Ask specifically about over-the-counter medications, supplements, and anything he has taken recently including the eye drops</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Flag the chart as ‘no medications’ and let the clinician clarify</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Diego does and why:</w:t>
            </w:r>
            <w:r>
              <w:rPr>
                <w:rFonts w:ascii="Arial" w:cs="Arial" w:eastAsia="Arial" w:hAnsi="Arial"/>
                <w:sz w:val="22"/>
                <w:szCs w:val="22"/>
              </w:rPr>
              <w:t xml:space="preserve"> Diego chooses B. Patients routinely omit OTC medications because they don’t think of them as ‘real’ medications. For Jordan, the Visine is clinically relevant: it tells the clinician that Jordan tried and failed to self-treat, and that the redness is not responding to a vasoconstrictive eye drop. Diego adds ‘OTC tetrahydrozoline eye drops (Visine), used for 2 days, no improvement’ to the medication list.</w:t>
            </w:r>
          </w:p>
        </w:tc>
      </w:tr>
    </w:tbl>
    <w:p>
      <w:pPr>
        <w:spacing w:after="80"/>
      </w:pPr>
      <w:r>
        <w:t xml:space="preserve"/>
      </w:r>
    </w:p>
    <w:p>
      <w:pPr>
        <w:pStyle w:val="Heading3"/>
        <w:spacing w:before="240" w:after="120"/>
      </w:pPr>
      <w:r>
        <w:rPr>
          <w:rFonts w:ascii="Arial" w:cs="Arial" w:eastAsia="Arial" w:hAnsi="Arial"/>
          <w:b/>
          <w:bCs/>
          <w:sz w:val="24"/>
          <w:szCs w:val="24"/>
        </w:rPr>
        <w:t xml:space="preserve">Moment 3: The Question That Changes Everything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Before leaving the room to get the clinician, Diego considers whether to ask Jordan any more questions about his symptoms. What should he do?</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Leave now – it’s the clinician’s job to take the history</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Ask one or two brief focused questions to help the clinician prepare</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Take a complete medical history so the clinician can walk in fully briefed</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Diego does and why:</w:t>
            </w:r>
            <w:r>
              <w:rPr>
                <w:rFonts w:ascii="Arial" w:cs="Arial" w:eastAsia="Arial" w:hAnsi="Arial"/>
                <w:sz w:val="22"/>
                <w:szCs w:val="22"/>
              </w:rPr>
              <w:t xml:space="preserve"> Diego chooses B. He asks: ‘Have you had any eye problems before?’ (no) and ‘Have you had any fevers or other symptoms recently, like joint pain or back pain?’ Jordan pauses and says, ‘Actually, my back has been killing me for months, but I figured it was from my desk.’ Diego adds this to the chart under review of systems. He has just surfaced the piece of information that will prove critical to Jordan’s diagnosis – in forty seconds.</w:t>
            </w:r>
          </w:p>
        </w:tc>
      </w:tr>
    </w:tbl>
    <w:p>
      <w:pPr>
        <w:spacing w:after="80"/>
      </w:pPr>
      <w:r>
        <w:t xml:space="preserve"/>
      </w:r>
    </w:p>
    <w:p>
      <w:pPr>
        <w:pStyle w:val="Heading3"/>
        <w:spacing w:before="240" w:after="120"/>
      </w:pPr>
      <w:r>
        <w:rPr>
          <w:rFonts w:ascii="Arial" w:cs="Arial" w:eastAsia="Arial" w:hAnsi="Arial"/>
          <w:b/>
          <w:bCs/>
          <w:sz w:val="24"/>
          <w:szCs w:val="24"/>
        </w:rPr>
        <w:t xml:space="preserve">Moment 4: The Handoff</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Diego gives a brief verbal handoff to Dr. Patel: ‘Room 3, Jordan Chen, 20-year-old male, three days of red eye with photophobia and blurred vision, not responding to Visine. Pain 6 out of 10. Oh, and he mentioned months of low back pain almost as an aside – I put it in the ROS.’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That last sentence is the moment. The back pain almost didn’t make it into the chart. Diego’s habit of asking one or two focused additional questions, built over years of rooming patients, is what surfaced it. The MA is not just a technician taking vitals. In many clinical encounters, the MA’s rooming conversation is the most information-rich part of the visit.</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do you actually do – what’s your role on the care team?</w:t>
            </w:r>
          </w:p>
          <w:p>
            <w:pPr>
              <w:spacing w:after="180"/>
            </w:pPr>
            <w:r>
              <w:rPr>
                <w:rFonts w:ascii="Arial" w:cs="Arial" w:eastAsia="Arial" w:hAnsi="Arial"/>
                <w:sz w:val="22"/>
                <w:szCs w:val="22"/>
              </w:rPr>
              <w:t xml:space="preserve">I’m the person who gets everything set up before the clinician walks in. Today that means I roomed Jordan, got his vital signs, updated his medication list and allergies, and asked him the key questions about what’s been going on. I also prepared the chart with his recent lab results so when Dr. Patel comes in, she has everything organized and can focus entirely on him. In this practice, I also assist with procedures, handle referral orders, communicate with insurance, and answer patient calls. I’m sometimes the person who delivers results – calling patients to share lab findings and conveying physician recommendations. Every specialist has an MA who is essentially the operational brain of the clinic.</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did you train for this job?</w:t>
            </w:r>
          </w:p>
          <w:p>
            <w:pPr>
              <w:spacing w:after="180"/>
            </w:pPr>
            <w:r>
              <w:rPr>
                <w:rFonts w:ascii="Arial" w:cs="Arial" w:eastAsia="Arial" w:hAnsi="Arial"/>
                <w:sz w:val="22"/>
                <w:szCs w:val="22"/>
              </w:rPr>
              <w:t xml:space="preserve">I completed a one-year Medical Assistant certificate program at a community college. The curriculum covered clinical skills – phlebotomy, EKG, injections, vital signs, sterile technique – and administrative skills like medical billing basics, scheduling, and electronic health records. After finishing, I sat for the Certified Medical Assistant exam through the AAMA. CMA certification isn’t required everywhere, but it’s strongly preferred in specialty practices because the patient populations are more complex. Some MAs train entirely on the job, but I’d recommend a formal program – it gives you a much stronger foundation.</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Is this a career you can grow in, or is it just an entry point?</w:t>
            </w:r>
          </w:p>
          <w:p>
            <w:pPr>
              <w:spacing w:after="180"/>
            </w:pPr>
            <w:r>
              <w:rPr>
                <w:rFonts w:ascii="Arial" w:cs="Arial" w:eastAsia="Arial" w:hAnsi="Arial"/>
                <w:sz w:val="22"/>
                <w:szCs w:val="22"/>
              </w:rPr>
              <w:t xml:space="preserve">Both, honestly – and that’s what I love about it. I have colleagues who have been MAs for 15 years and love the direct patient contact, the variety, and the stability of the role. And I have colleagues who used MA experience as a foundation to become nurses, PAs, or medical coders. Working as an MA gives you exposure to clinical medicine that is invaluable for any healthcare career path you pursue later. Healthcare needs MAs badly – it’s one of the fastest-growing occupations in the country.</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Medical Assistant</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Certificate program (1 year) or associate degree (2 years). CMA exam through AAMA.</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The MA is the first clinical contact in almost every outpatient visit. Diego’s rooming conversation set the stage for the correct diagnosis – surfacing the back pain that became the diagnostic key.</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want direct patient contact from day one, you’re organized and observant, you want to enter healthcare within one to two years, and you find satisfaction in the work that makes clinical care possible.</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3: Family Doctor – The Diagnostic Encounter</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11:32 a.m. Location: Exam Room 3, Stanford University Urgent Care. Diego has just handed off to Dr. Patel, a family medicine physician with seven years of clinical experience. She has read Diego’s chart notes including the mention of back pain.</w:t>
            </w:r>
          </w:p>
          <w:p>
            <w:pPr>
              <w:spacing w:after="180"/>
            </w:pPr>
            <w:r>
              <w:rPr>
                <w:rFonts w:ascii="Arial" w:cs="Arial" w:eastAsia="Arial" w:hAnsi="Arial"/>
                <w:sz w:val="22"/>
                <w:szCs w:val="22"/>
              </w:rPr>
              <w:t xml:space="preserve">You are shadowing Dr. Patel. She picks up the tablet, reads the chart for forty-five seconds, knocks, and enters.</w:t>
            </w:r>
          </w:p>
        </w:tc>
      </w:tr>
    </w:tbl>
    <w:p>
      <w:pPr>
        <w:spacing w:after="80"/>
      </w:pPr>
      <w:r>
        <w:t xml:space="preserve"/>
      </w:r>
    </w:p>
    <w:p>
      <w:pPr>
        <w:pStyle w:val="Heading3"/>
        <w:spacing w:before="240" w:after="120"/>
      </w:pPr>
      <w:r>
        <w:rPr>
          <w:rFonts w:ascii="Arial" w:cs="Arial" w:eastAsia="Arial" w:hAnsi="Arial"/>
          <w:b/>
          <w:bCs/>
          <w:sz w:val="24"/>
          <w:szCs w:val="24"/>
        </w:rPr>
        <w:t xml:space="preserve">Moment 1: First Impression and Opening</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Patel enters and scans the room before speaking. Dim lights. Jordan hunched over. Squinting. She notes the Visine in the chart. She pulls a stool close to Jordan rather than standing, putting herself at his eye level.</w:t>
      </w:r>
    </w:p>
    <w:p>
      <w:pPr>
        <w:spacing w:after="180"/>
        <w:ind w:left="720"/>
      </w:pPr>
      <w:r>
        <w:rPr>
          <w:rFonts w:ascii="Arial" w:cs="Arial" w:eastAsia="Arial" w:hAnsi="Arial"/>
          <w:b/>
          <w:bCs/>
          <w:sz w:val="22"/>
          <w:szCs w:val="22"/>
        </w:rPr>
        <w:t xml:space="preserve">Jordan says says:</w:t>
      </w:r>
      <w:r>
        <w:rPr>
          <w:rFonts w:ascii="Arial" w:cs="Arial" w:eastAsia="Arial" w:hAnsi="Arial"/>
          <w:i/>
          <w:iCs/>
          <w:sz w:val="22"/>
          <w:szCs w:val="22"/>
        </w:rPr>
        <w:t xml:space="preserve"> “I’ve had a red eye for three days. I bought Visine but it’s not working. This morning it was really bad with the light, and I can’t see as well on that side.”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Patel listens without writing. Then: ‘Tell me about the redness. Is it all over the white of your eye, or is it more concentrated in one area?’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That question is not random. The pattern of redness in a red eye is one of the most diagnostically important findings in emergency eye care. Diffuse redness suggests conjunctivitis. Redness concentrated at the corneal rim – ciliary flush or perilimbal injection – suggests deeper inflammation inside the eye. Dr. Patel is already forming a differential diagnosis before she has touched the patient.</w:t>
            </w:r>
          </w:p>
        </w:tc>
      </w:tr>
    </w:tbl>
    <w:p>
      <w:pPr>
        <w:spacing w:after="80"/>
      </w:pPr>
      <w:r>
        <w:t xml:space="preserve"/>
      </w:r>
    </w:p>
    <w:p>
      <w:pPr>
        <w:pStyle w:val="Heading3"/>
        <w:spacing w:before="240" w:after="120"/>
      </w:pPr>
      <w:r>
        <w:rPr>
          <w:rFonts w:ascii="Arial" w:cs="Arial" w:eastAsia="Arial" w:hAnsi="Arial"/>
          <w:b/>
          <w:bCs/>
          <w:sz w:val="24"/>
          <w:szCs w:val="24"/>
        </w:rPr>
        <w:t xml:space="preserve">Moment 2: Focused History and Key Negatives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Patel moves through her history efficiently. She asks about discharge (none – important: discharge is present in bacterial conjunctivitis, absent in uveitis), trauma (none), contact lens use (none), prior eye problems (none). Each ‘no’ is as informative as a ‘yes.’ She is ruling out common causes as she goes.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Dr. Patel now turns to the review of systems. She has: no discharge, no trauma, no contact lenses, photophobia, blurred vision, ciliary redness. What should she ask about?</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Headache, nausea, and vomiting only – to rule out increased intracranial pressure</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A broad review covering joints, skin, gut, and urinary symptoms as well as neurological symptoms</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Cardiac and respiratory symptoms to ensure the patient is not medically unstable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Patel does and why:</w:t>
            </w:r>
            <w:r>
              <w:rPr>
                <w:rFonts w:ascii="Arial" w:cs="Arial" w:eastAsia="Arial" w:hAnsi="Arial"/>
                <w:sz w:val="22"/>
                <w:szCs w:val="22"/>
              </w:rPr>
              <w:t xml:space="preserve"> Dr. Patel chooses B. Anterior uveitis is frequently associated with systemic autoimmune and inflammatory conditions, particularly those in the HLA-B27 spectrum. A clinician who only asks about headache and nausea will miss the back pain and GI symptoms that transform this from a local eye problem into a whole-person diagnosis.</w:t>
            </w:r>
          </w:p>
        </w:tc>
      </w:tr>
    </w:tbl>
    <w:p>
      <w:pPr>
        <w:spacing w:after="80"/>
      </w:pPr>
      <w:r>
        <w:t xml:space="preserve"/>
      </w:r>
    </w:p>
    <w:p>
      <w:pPr>
        <w:pStyle w:val="Heading3"/>
        <w:spacing w:before="240" w:after="120"/>
      </w:pPr>
      <w:r>
        <w:rPr>
          <w:rFonts w:ascii="Arial" w:cs="Arial" w:eastAsia="Arial" w:hAnsi="Arial"/>
          <w:b/>
          <w:bCs/>
          <w:sz w:val="24"/>
          <w:szCs w:val="24"/>
        </w:rPr>
        <w:t xml:space="preserve">Moment 3: The Back Pain – A Turning Point</w:t>
      </w:r>
    </w:p>
    <w:p>
      <w:pPr>
        <w:spacing w:after="180"/>
        <w:ind w:left="720"/>
      </w:pPr>
      <w:r>
        <w:rPr>
          <w:rFonts w:ascii="Arial" w:cs="Arial" w:eastAsia="Arial" w:hAnsi="Arial"/>
          <w:b/>
          <w:bCs/>
          <w:sz w:val="22"/>
          <w:szCs w:val="22"/>
        </w:rPr>
        <w:t xml:space="preserve">Jordan says says:</w:t>
      </w:r>
      <w:r>
        <w:rPr>
          <w:rFonts w:ascii="Arial" w:cs="Arial" w:eastAsia="Arial" w:hAnsi="Arial"/>
          <w:i/>
          <w:iCs/>
          <w:sz w:val="22"/>
          <w:szCs w:val="22"/>
        </w:rPr>
        <w:t xml:space="preserve"> “Actually, yeah – my lower back has been stiff and sore for like six or eight months. Especially in the morning. It gets better as the day goes on. I kind of figured it was from sitting at my desk studying.”</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Patel pauses her typing and sits slightly forward. She asks: ‘Does the stiffness last more than thirty minutes in the morning?’ Yes. ‘Does exercise make it better or worse?’ Better. ‘Have you had any loose stools or abdominal cramping?’ Jordan looks surprised and says, ‘Actually, yeah – for months. I figured it was dining hall food.’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Morning stiffness that improves with activity, lasting more than thirty minutes, in a young man – combined with anterior uveitis – is a textbook presentation of HLA-B27 associated spondyloarthropathy. Dr. Patel has just connected two symptoms Jordan experienced in entirely separate parts of his body and never considered related.</w:t>
            </w:r>
          </w:p>
        </w:tc>
      </w:tr>
    </w:tbl>
    <w:p>
      <w:pPr>
        <w:spacing w:after="80"/>
      </w:pPr>
      <w:r>
        <w:t xml:space="preserve"/>
      </w:r>
    </w:p>
    <w:p>
      <w:pPr>
        <w:pStyle w:val="Heading3"/>
        <w:spacing w:before="240" w:after="120"/>
      </w:pPr>
      <w:r>
        <w:rPr>
          <w:rFonts w:ascii="Arial" w:cs="Arial" w:eastAsia="Arial" w:hAnsi="Arial"/>
          <w:b/>
          <w:bCs/>
          <w:sz w:val="24"/>
          <w:szCs w:val="24"/>
        </w:rPr>
        <w:t xml:space="preserve">Moment 4: The Physical Examination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Patel confirms ciliary flush with a penlight. She checks Jordan’s pupil: left is 3mm, slightly irregular, and sluggish. Visual acuity: 20/40 right, 20/60 left. She examines Jordan’s lower back: mild sacroiliac joint tenderness bilaterally, reduced lumbar flexion. She checks his abdomen: mild diffuse tenderness. She looks at his skin: no rash currently.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Dr. Patel has: ciliary flush, irregular sluggish pupil, reduced visual acuity, sacroiliac tenderness, and GI symptoms. What diagnostic workup does she order?</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Refer directly to ophthalmology – this is outside primary care scope, no labs needed</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Order a basic metabolic panel and CBC, nothing further</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Order targeted labs including inflammatory markers, HLA-B27, and syphilis screen; refer urgently to ophthalmology; flag for rheumatology follow-up</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Patel does and why:</w:t>
            </w:r>
            <w:r>
              <w:rPr>
                <w:rFonts w:ascii="Arial" w:cs="Arial" w:eastAsia="Arial" w:hAnsi="Arial"/>
                <w:sz w:val="22"/>
                <w:szCs w:val="22"/>
              </w:rPr>
              <w:t xml:space="preserve"> Dr. Patel chooses C. She orders ESR, CRP, HLA-B27, ANA, RPR, CBC, and CMP. She writes an urgent same-day referral to ophthalmology with a detailed clinical summary. And she flags the chart for rheumatology follow-up once the labs return.</w:t>
            </w:r>
          </w:p>
        </w:tc>
      </w:tr>
    </w:tbl>
    <w:p>
      <w:pPr>
        <w:spacing w:after="80"/>
      </w:pPr>
      <w:r>
        <w:t xml:space="preserve"/>
      </w:r>
    </w:p>
    <w:p>
      <w:pPr>
        <w:pStyle w:val="Heading3"/>
        <w:spacing w:before="240" w:after="120"/>
      </w:pPr>
      <w:r>
        <w:rPr>
          <w:rFonts w:ascii="Arial" w:cs="Arial" w:eastAsia="Arial" w:hAnsi="Arial"/>
          <w:b/>
          <w:bCs/>
          <w:sz w:val="24"/>
          <w:szCs w:val="24"/>
        </w:rPr>
        <w:t xml:space="preserve">Moment 5: The Patient Conversation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Before Jordan leaves, Dr. Patel sits with him for five minutes. She explains what she thinks is happening without using jargon: something is inflamed inside his eye, it is serious enough to need a specialist today, and the eye problem and the back pain may be connected.</w:t>
      </w:r>
    </w:p>
    <w:p>
      <w:pPr>
        <w:spacing w:after="180"/>
        <w:ind w:left="720"/>
      </w:pPr>
      <w:r>
        <w:rPr>
          <w:rFonts w:ascii="Arial" w:cs="Arial" w:eastAsia="Arial" w:hAnsi="Arial"/>
          <w:b/>
          <w:bCs/>
          <w:sz w:val="22"/>
          <w:szCs w:val="22"/>
        </w:rPr>
        <w:t xml:space="preserve">Jordan says says:</w:t>
      </w:r>
      <w:r>
        <w:rPr>
          <w:rFonts w:ascii="Arial" w:cs="Arial" w:eastAsia="Arial" w:hAnsi="Arial"/>
          <w:i/>
          <w:iCs/>
          <w:sz w:val="22"/>
          <w:szCs w:val="22"/>
        </w:rPr>
        <w:t xml:space="preserve"> “Wait – my eye and my back are related? How is that possible?”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Patel explains that the immune system can cause inflammation in unexpected places simultaneously, and that there is a genetic marker called HLA-B27 that sometimes connects these things. Jordan is quiet for a moment, then nods.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Can you walk me through how you approached Jordan’s case?</w:t>
            </w:r>
          </w:p>
          <w:p>
            <w:pPr>
              <w:spacing w:after="180"/>
            </w:pPr>
            <w:r>
              <w:rPr>
                <w:rFonts w:ascii="Arial" w:cs="Arial" w:eastAsia="Arial" w:hAnsi="Arial"/>
                <w:sz w:val="22"/>
                <w:szCs w:val="22"/>
              </w:rPr>
              <w:t xml:space="preserve">I start with the chief complaint – red eye three days – but I never let that be all I see. My job is to think about what could kill or permanently harm this patient if I miss it. For the eye, the critical questions are: is there photophobia? Is vision affected? What does the pattern of redness look like? Jordan had photophobia, reduced visual acuity, and when I looked carefully, the redness was concentrated around the corneal rim – what we call ciliary flush – not just diffuse conjunctival redness. That pattern is not pink eye. Then I noticed his pupil was slightly smaller and irregular on the left. At that point I needed the rest of his story – and that’s when the back pain came up almost as an afterthought.</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Why did you order the HLA-B27 test? Most people don’t even know what that is.</w:t>
            </w:r>
          </w:p>
          <w:p>
            <w:pPr>
              <w:spacing w:after="180"/>
            </w:pPr>
            <w:r>
              <w:rPr>
                <w:rFonts w:ascii="Arial" w:cs="Arial" w:eastAsia="Arial" w:hAnsi="Arial"/>
                <w:sz w:val="22"/>
                <w:szCs w:val="22"/>
              </w:rPr>
              <w:t xml:space="preserve">The combination of uveitis with morning low back stiffness that improves through the day in a young man is a classic presentation of the HLA-B27 spectrum of diseases – a group that includes ankylosing spondylitis, reactive arthritis, psoriatic arthritis, and others. HLA-B27 is a genetic marker carried by about 8% of the population, but it’s found in up to 90% of patients with ankylosing spondylitis. Ordering that test wasn’t a shot in the dark – it was a hypothesis that the eye disease and the back pain had a common underlying cause. The lesson: laboratory tests work best when they’re ordered to confirm or refute a specific clinical hypothesis, not as a fishing expedition.</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did you become a primary care physician, and why this specialty?</w:t>
            </w:r>
          </w:p>
          <w:p>
            <w:pPr>
              <w:spacing w:after="180"/>
            </w:pPr>
            <w:r>
              <w:rPr>
                <w:rFonts w:ascii="Arial" w:cs="Arial" w:eastAsia="Arial" w:hAnsi="Arial"/>
                <w:sz w:val="22"/>
                <w:szCs w:val="22"/>
              </w:rPr>
              <w:t xml:space="preserve">Medical school, then a three-year family medicine residency. I was drawn to primary care because I wanted to see the whole person across their entire life – not just one organ system. Family medicine is where undifferentiated illness becomes a diagnosis. Jordan walked in thinking he had pink eye. The central skill is synthesis: taking disconnected pieces of a patient’s story and finding the thread that connects them. That’s what makes this work compelling.</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Family Doctor</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MD or DO degree, 4 years of medical school plus 3-year family medicine residency. 7 years after undergraduate study.</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Primary care is where undifferentiated illness becomes a diagnosis. Dr. Patel’s twenty-two-minute encounter produced a diagnosis, a workup, a specialist referral, and a patient conversation.</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want to be the clinician who sees the whole person, you love the diagnostic puzzle of symptoms that don’t yet have a name, and you want to be the clinical hub around which everything else in a patient’s care rotates.</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4: Pharmacist (PharmD) – Earlier That Morning</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8:20 a.m. – earlier that same morning. Location: A campus-area pharmacy. Jordan has just arrived at the counter with a box of Visine and is waiting to pay.</w:t>
            </w:r>
          </w:p>
          <w:p>
            <w:pPr>
              <w:spacing w:after="180"/>
            </w:pPr>
            <w:r>
              <w:rPr>
                <w:rFonts w:ascii="Arial" w:cs="Arial" w:eastAsia="Arial" w:hAnsi="Arial"/>
                <w:sz w:val="22"/>
                <w:szCs w:val="22"/>
              </w:rPr>
              <w:t xml:space="preserve">You are shadowing Raj, a PharmD who has worked as a community pharmacist for four years. He is reviewing a prescription when Jordan approaches.</w:t>
            </w:r>
          </w:p>
        </w:tc>
      </w:tr>
    </w:tbl>
    <w:p>
      <w:pPr>
        <w:spacing w:after="80"/>
      </w:pPr>
      <w:r>
        <w:t xml:space="preserve"/>
      </w:r>
    </w:p>
    <w:p>
      <w:pPr>
        <w:pStyle w:val="Heading3"/>
        <w:spacing w:before="240" w:after="120"/>
      </w:pPr>
      <w:r>
        <w:rPr>
          <w:rFonts w:ascii="Arial" w:cs="Arial" w:eastAsia="Arial" w:hAnsi="Arial"/>
          <w:b/>
          <w:bCs/>
          <w:sz w:val="24"/>
          <w:szCs w:val="24"/>
        </w:rPr>
        <w:t xml:space="preserve">Moment 1: The Counter Conversation</w:t>
      </w:r>
    </w:p>
    <w:p>
      <w:pPr>
        <w:spacing w:after="180"/>
        <w:ind w:left="720"/>
      </w:pPr>
      <w:r>
        <w:rPr>
          <w:rFonts w:ascii="Arial" w:cs="Arial" w:eastAsia="Arial" w:hAnsi="Arial"/>
          <w:b/>
          <w:bCs/>
          <w:sz w:val="22"/>
          <w:szCs w:val="22"/>
        </w:rPr>
        <w:t xml:space="preserve">Jordan says says:</w:t>
      </w:r>
      <w:r>
        <w:rPr>
          <w:rFonts w:ascii="Arial" w:cs="Arial" w:eastAsia="Arial" w:hAnsi="Arial"/>
          <w:i/>
          <w:iCs/>
          <w:sz w:val="22"/>
          <w:szCs w:val="22"/>
        </w:rPr>
        <w:t xml:space="preserve"> “Hey, do you think this will work? My eye has been red for like three days and it’s getting worse.”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Raj puts down his prescription and looks at Jordan directly. He notices immediately: Jordan is squinting at the fluorescent lights. One eye is slightly more closed than the other. He is not rubbing his eye. There is no visible discharge on his lashes.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Raj has five seconds to decide what kind of interaction this will be. He could ring up the Visine and let Jordan leave. Or he could ask more questions. What should he do?</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Ring it up – Jordan has made his choice and pharmacists shouldn’t second-guess customers</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Ask a few quick clinical questions before completing the sale</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Refuse to sell the Visine and insist Jordan see a doctor</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Raj does and why:</w:t>
            </w:r>
            <w:r>
              <w:rPr>
                <w:rFonts w:ascii="Arial" w:cs="Arial" w:eastAsia="Arial" w:hAnsi="Arial"/>
                <w:sz w:val="22"/>
                <w:szCs w:val="22"/>
              </w:rPr>
              <w:t xml:space="preserve"> Raj chooses B. This is a pharmacist practicing at the top of his scope. He has a doctoral degree in pharmacology and clinical sciences. When a patient presents a product to treat a symptom, a pharmacist’s job is to assess whether that product is appropriate for that symptom – and whether the symptom itself warrants something more than an OTC product.</w:t>
            </w:r>
          </w:p>
        </w:tc>
      </w:tr>
    </w:tbl>
    <w:p>
      <w:pPr>
        <w:spacing w:after="80"/>
      </w:pPr>
      <w:r>
        <w:t xml:space="preserve"/>
      </w:r>
    </w:p>
    <w:p>
      <w:pPr>
        <w:pStyle w:val="Heading3"/>
        <w:spacing w:before="240" w:after="120"/>
      </w:pPr>
      <w:r>
        <w:rPr>
          <w:rFonts w:ascii="Arial" w:cs="Arial" w:eastAsia="Arial" w:hAnsi="Arial"/>
          <w:b/>
          <w:bCs/>
          <w:sz w:val="24"/>
          <w:szCs w:val="24"/>
        </w:rPr>
        <w:t xml:space="preserve">Moment 2: The Clinical Questions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Raj asks three questions in a low, conversational voice.</w:t>
      </w:r>
    </w:p>
    <w:p>
      <w:pPr>
        <w:spacing w:after="180"/>
        <w:ind w:left="720"/>
      </w:pPr>
      <w:r>
        <w:rPr>
          <w:rFonts w:ascii="Arial" w:cs="Arial" w:eastAsia="Arial" w:hAnsi="Arial"/>
          <w:i/>
          <w:iCs/>
          <w:sz w:val="22"/>
          <w:szCs w:val="22"/>
        </w:rPr>
        <w:t xml:space="preserve">“Is it mostly the whites of your eye that are red, or is it more around the iris – the colored part?”</w:t>
      </w:r>
    </w:p>
    <w:p>
      <w:pPr>
        <w:spacing w:after="180"/>
        <w:ind w:left="720"/>
      </w:pPr>
      <w:r>
        <w:rPr>
          <w:rFonts w:ascii="Arial" w:cs="Arial" w:eastAsia="Arial" w:hAnsi="Arial"/>
          <w:b/>
          <w:bCs/>
          <w:sz w:val="22"/>
          <w:szCs w:val="22"/>
        </w:rPr>
        <w:t xml:space="preserve">Jordan says says:</w:t>
      </w:r>
      <w:r>
        <w:rPr>
          <w:rFonts w:ascii="Arial" w:cs="Arial" w:eastAsia="Arial" w:hAnsi="Arial"/>
          <w:i/>
          <w:iCs/>
          <w:sz w:val="22"/>
          <w:szCs w:val="22"/>
        </w:rPr>
        <w:t xml:space="preserve"> “More around the colored part, I think. And inside, weirdly.”</w:t>
      </w:r>
    </w:p>
    <w:p>
      <w:pPr>
        <w:spacing w:after="180"/>
        <w:ind w:left="720"/>
      </w:pPr>
      <w:r>
        <w:rPr>
          <w:rFonts w:ascii="Arial" w:cs="Arial" w:eastAsia="Arial" w:hAnsi="Arial"/>
          <w:i/>
          <w:iCs/>
          <w:sz w:val="22"/>
          <w:szCs w:val="22"/>
        </w:rPr>
        <w:t xml:space="preserve">“Is your vision normal? Any blurriness or trouble with light?”</w:t>
      </w:r>
    </w:p>
    <w:p>
      <w:pPr>
        <w:spacing w:after="180"/>
        <w:ind w:left="720"/>
      </w:pPr>
      <w:r>
        <w:rPr>
          <w:rFonts w:ascii="Arial" w:cs="Arial" w:eastAsia="Arial" w:hAnsi="Arial"/>
          <w:b/>
          <w:bCs/>
          <w:sz w:val="22"/>
          <w:szCs w:val="22"/>
        </w:rPr>
        <w:t xml:space="preserve">Jordan says says:</w:t>
      </w:r>
      <w:r>
        <w:rPr>
          <w:rFonts w:ascii="Arial" w:cs="Arial" w:eastAsia="Arial" w:hAnsi="Arial"/>
          <w:i/>
          <w:iCs/>
          <w:sz w:val="22"/>
          <w:szCs w:val="22"/>
        </w:rPr>
        <w:t xml:space="preserve"> “Yeah, actually – light is really bothering me. And it is a little blurry.”</w:t>
      </w:r>
    </w:p>
    <w:p>
      <w:pPr>
        <w:spacing w:after="180"/>
        <w:ind w:left="720"/>
      </w:pPr>
      <w:r>
        <w:rPr>
          <w:rFonts w:ascii="Arial" w:cs="Arial" w:eastAsia="Arial" w:hAnsi="Arial"/>
          <w:i/>
          <w:iCs/>
          <w:sz w:val="22"/>
          <w:szCs w:val="22"/>
        </w:rPr>
        <w:t xml:space="preserve">“Any discharge, like crustiness in the morning?”</w:t>
      </w:r>
    </w:p>
    <w:p>
      <w:pPr>
        <w:spacing w:after="180"/>
        <w:ind w:left="720"/>
      </w:pPr>
      <w:r>
        <w:rPr>
          <w:rFonts w:ascii="Arial" w:cs="Arial" w:eastAsia="Arial" w:hAnsi="Arial"/>
          <w:b/>
          <w:bCs/>
          <w:sz w:val="22"/>
          <w:szCs w:val="22"/>
        </w:rPr>
        <w:t xml:space="preserve">Jordan says says:</w:t>
      </w:r>
      <w:r>
        <w:rPr>
          <w:rFonts w:ascii="Arial" w:cs="Arial" w:eastAsia="Arial" w:hAnsi="Arial"/>
          <w:i/>
          <w:iCs/>
          <w:sz w:val="22"/>
          <w:szCs w:val="22"/>
        </w:rPr>
        <w:t xml:space="preserve"> “No. No crusty stuff.”</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Raj puts the Visine box on the counter between them.</w:t>
      </w:r>
    </w:p>
    <w:p>
      <w:pPr>
        <w:spacing w:after="80"/>
      </w:pPr>
      <w:r>
        <w:t xml:space="preserve"/>
      </w:r>
    </w:p>
    <w:p>
      <w:pPr>
        <w:pStyle w:val="Heading3"/>
        <w:spacing w:before="240" w:after="120"/>
      </w:pPr>
      <w:r>
        <w:rPr>
          <w:rFonts w:ascii="Arial" w:cs="Arial" w:eastAsia="Arial" w:hAnsi="Arial"/>
          <w:b/>
          <w:bCs/>
          <w:sz w:val="24"/>
          <w:szCs w:val="24"/>
        </w:rPr>
        <w:t xml:space="preserve">Moment 3: The Pharmacist’s Assessment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Raj knows what he is looking at. Perilimbal redness, photophobia, blurred vision, no discharge. This is not conjunctivitis. Visine is a vasoconstrictor – it will make the eye look less red temporarily by constricting blood vessels, but it will do nothing for the underlying cause, and if the underlying cause is uveitis, the delay could result in vision loss.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Raj needs to tell Jordan not to buy the Visine and to seek care today. How should he frame this?</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Tell Jordan his eye looks serious and he should go to the emergency department immediately</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Explain calmly that this pattern of symptoms is not typical pink eye and that an eye care clinician should see him today – urgent care is fine</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Recommend a different OTC product and suggest Jordan see someone next week if it doesn’t improve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Raj does and why:</w:t>
            </w:r>
            <w:r>
              <w:rPr>
                <w:rFonts w:ascii="Arial" w:cs="Arial" w:eastAsia="Arial" w:hAnsi="Arial"/>
                <w:sz w:val="22"/>
                <w:szCs w:val="22"/>
              </w:rPr>
              <w:t xml:space="preserve"> Raj chooses B. He says: ‘I want to be straight with you – the combination of light sensitivity, blurry vision, and redness around the iris isn’t typical pink eye. Visine isn’t going to help that, and I’d feel better if you had someone look at it today. Urgent care can handle it, and it doesn’t need to be the ER.’ He slides the Visine back.</w:t>
            </w:r>
          </w:p>
        </w:tc>
      </w:tr>
    </w:tbl>
    <w:p>
      <w:pPr>
        <w:spacing w:after="80"/>
      </w:pPr>
      <w:r>
        <w:t xml:space="preserve"/>
      </w:r>
    </w:p>
    <w:p>
      <w:pPr>
        <w:pStyle w:val="Heading3"/>
        <w:spacing w:before="240" w:after="120"/>
      </w:pPr>
      <w:r>
        <w:rPr>
          <w:rFonts w:ascii="Arial" w:cs="Arial" w:eastAsia="Arial" w:hAnsi="Arial"/>
          <w:b/>
          <w:bCs/>
          <w:sz w:val="24"/>
          <w:szCs w:val="24"/>
        </w:rPr>
        <w:t xml:space="preserve">Moment 4: What Just Happened</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Jordan leaves the pharmacy without buying anything. He calls the urgent care clinic from the parking lot and makes an appointment for 11 a.m. This is the conversation that changed the trajectory of Jordan’s morning.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Raj just prevented a delay in diagnosis that could have lasted days or weeks. Jordan would have used the Visine, watched his eye get temporarily whiter, and assumed it was improving. In uveitis, a week of untreated inflammation significantly increases the risk of complications including posterior synechiae, cataract, and permanent vision loss. A pharmacist at a checkout counter just changed the arc of this patient’s care.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I have all these prescriptions from different doctors. Is there anything I should know?</w:t>
            </w:r>
          </w:p>
          <w:p>
            <w:pPr>
              <w:spacing w:after="180"/>
            </w:pPr>
            <w:r>
              <w:rPr>
                <w:rFonts w:ascii="Arial" w:cs="Arial" w:eastAsia="Arial" w:hAnsi="Arial"/>
                <w:sz w:val="22"/>
                <w:szCs w:val="22"/>
              </w:rPr>
              <w:t xml:space="preserve">I’m glad you asked – this is exactly what I’m here for. You’re on prednisolone acetate eye drops from your ophthalmologist, cyclopentolate drops also from ophthalmology, and naproxen from your rheumatologist. The prednisolone drops are a topical steroid – very important that you use them exactly as prescribed and taper only under your ophthalmologist’s direction. Stopping steroid eye drops abruptly can cause rebound inflammation. The cyclopentolate keeps your pupil dilated – you’ll have blurry near vision and light sensitivity while using it, so be aware of that when driving. The naproxen is an NSAID. You mentioned some GI symptoms earlier. NSAIDs can irritate the stomach lining, and given your history of loose stools, I’d like you to take this with food and potentially ask your rheumatologist about adding a proton pump inhibitor as GI protection.</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do you know all this? You weren’t at any of my doctor’s appointments.</w:t>
            </w:r>
          </w:p>
          <w:p>
            <w:pPr>
              <w:spacing w:after="180"/>
            </w:pPr>
            <w:r>
              <w:rPr>
                <w:rFonts w:ascii="Arial" w:cs="Arial" w:eastAsia="Arial" w:hAnsi="Arial"/>
                <w:sz w:val="22"/>
                <w:szCs w:val="22"/>
              </w:rPr>
              <w:t xml:space="preserve">That’s a great question about how pharmacy works. Every prescription you fill here enters your medication record, which I can see across all your providers. My training – a four-year Doctor of Pharmacy degree – was built around pharmacology, drug interactions, and therapeutic decision-making. We don’t just count pills; we are the medication experts on your care team. Physicians rely on pharmacists to be their safety net for drug interactions, correct dosing, contraindications, and patient counseling. There’s actually strong evidence that pharmacist-led medication management reviews reduce hospitalizations. What I do today with your medication list is clinical medicine – it just looks different from what happens in the exam room.</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happens if Jordan eventually needs a biologic medication?</w:t>
            </w:r>
          </w:p>
          <w:p>
            <w:pPr>
              <w:spacing w:after="180"/>
            </w:pPr>
            <w:r>
              <w:rPr>
                <w:rFonts w:ascii="Arial" w:cs="Arial" w:eastAsia="Arial" w:hAnsi="Arial"/>
                <w:sz w:val="22"/>
                <w:szCs w:val="22"/>
              </w:rPr>
              <w:t xml:space="preserve">Biologics like adalimumab or secukinumab come through specialty pharmacy – a different distribution channel than your regular pharmacy. Specialty pharmacies provide much more intensive monitoring: they call patients monthly, ensure proper storage of temperature-sensitive medications, coordinate insurance prior authorizations, and connect patients with manufacturer patient assistance programs if cost is a barrier. Adalimumab has a list price over $80,000 per year – but most insured patients pay dramatically less through copay cards or assistance programs. I’d help Jordan and his pharmacy technician navigate that process. I’d also counsel him on what to watch for with biologic therapy: signs of infection, what vaccinations to update before starting, and when to hold the medication if he gets sick.</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Pharmacist (PharmD)</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Doctor of Pharmacy (PharmD), 4 years of pharmacy school after 2–4 years of undergraduate prerequisites. 6–8 years total.</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Pharmacists are the most accessible clinical professionals in American healthcare – no appointment needed, no copay. Raj’s two-minute interaction at 8:20 a.m. illustrates what pharmacists actually are: doctoral-level clinical scientists making judgment calls that no one else will ever see or document.</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fascinated by how drugs work and how they interact with disease, you want doctoral-level expertise and the ability to practice independently, and you want a clinical role that reaches patients at moments no other clinician does.</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5: Ophthalmologist – The Specialist Encounter</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3:15 p.m. – the same afternoon as Jordan’s urgent care visit. Location: Stanford ophthalmology clinic. Dr. Patel’s urgent same-day referral note arrived two hours ago.</w:t>
            </w:r>
          </w:p>
          <w:p>
            <w:pPr>
              <w:spacing w:after="180"/>
            </w:pPr>
            <w:r>
              <w:rPr>
                <w:rFonts w:ascii="Arial" w:cs="Arial" w:eastAsia="Arial" w:hAnsi="Arial"/>
                <w:sz w:val="22"/>
                <w:szCs w:val="22"/>
              </w:rPr>
              <w:t xml:space="preserve">You are shadowing Dr. Osei, a fellowship-trained ophthalmologist with subspecialty training in uveitis and ocular inflammation. He has reviewed Dr. Patel’s referral letter before Jordan walks in the door.</w:t>
            </w:r>
          </w:p>
        </w:tc>
      </w:tr>
    </w:tbl>
    <w:p>
      <w:pPr>
        <w:spacing w:after="80"/>
      </w:pPr>
      <w:r>
        <w:t xml:space="preserve"/>
      </w:r>
    </w:p>
    <w:p>
      <w:pPr>
        <w:pStyle w:val="Heading3"/>
        <w:spacing w:before="240" w:after="120"/>
      </w:pPr>
      <w:r>
        <w:rPr>
          <w:rFonts w:ascii="Arial" w:cs="Arial" w:eastAsia="Arial" w:hAnsi="Arial"/>
          <w:b/>
          <w:bCs/>
          <w:sz w:val="24"/>
          <w:szCs w:val="24"/>
        </w:rPr>
        <w:t xml:space="preserve">Moment 1: The Tool No One Else Has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Osei greets Jordan and leads him to the slit lamp – a binocular microscope mounted on a table that illuminates the eye with a thin beam of high-intensity light and magnifies structures at up to forty times their actual size. Jordan has never seen one before. Dr. Osei dims the room and begins.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The anterior chamber shows what he later describes as ‘cells and flare’: white blood cells and protein floating in the aqueous humor, visible only under this degree of magnification. He grades the inflammation: 2+ cells, 1+ flare. He notes posterior synechiae beginning to form – tiny adhesions between the iris and the lens, a sign that inflammation has been present long enough to start causing structural damage.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The slit lamp is the defining tool of ophthalmology. No other clinician Jordan has seen today can look inside the anterior chamber. Devon assessed Jordan’s pupil from the outside. Dr. Patel confirmed ciliary flush with a penlight. Dr. Osei can see the white blood cells floating in the fluid inside Jordan’s eye. This is what subspecialization means: not just more knowledge, but entirely different tools that reveal entirely different information.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Dr. Osei sees 2+ cells, beginning posterior synechiae, and vision 20/60 in the affected eye. This is moderate anterior uveitis with early structural complications. What does Dr. Osei do first?</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Start topical corticosteroid drops and dilating drops, schedule follow-up in one week</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Refer immediately to a retinal specialist – the posterior synechiae suggest retinal involvement</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Admit Jordan to the hospital today – this level of inflammation requires IV treatment</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Osei does and why:</w:t>
            </w:r>
            <w:r>
              <w:rPr>
                <w:rFonts w:ascii="Arial" w:cs="Arial" w:eastAsia="Arial" w:hAnsi="Arial"/>
                <w:sz w:val="22"/>
                <w:szCs w:val="22"/>
              </w:rPr>
              <w:t xml:space="preserve"> He chooses A. Moderate anterior uveitis with early posterior synechiae is managed initially with intensive topical therapy: prednisolone acetate drops every one to two hours while awake, and cyclopentolate to break and prevent further synechiae. The retina is not involved – Dr. Osei confirms this by examining the posterior segment. He schedules follow-up in five days, not one week, because of the synechiae.</w:t>
            </w:r>
          </w:p>
        </w:tc>
      </w:tr>
    </w:tbl>
    <w:p>
      <w:pPr>
        <w:spacing w:after="80"/>
      </w:pPr>
      <w:r>
        <w:t xml:space="preserve"/>
      </w:r>
    </w:p>
    <w:p>
      <w:pPr>
        <w:pStyle w:val="Heading3"/>
        <w:spacing w:before="240" w:after="120"/>
      </w:pPr>
      <w:r>
        <w:rPr>
          <w:rFonts w:ascii="Arial" w:cs="Arial" w:eastAsia="Arial" w:hAnsi="Arial"/>
          <w:b/>
          <w:bCs/>
          <w:sz w:val="24"/>
          <w:szCs w:val="24"/>
        </w:rPr>
        <w:t xml:space="preserve">Moment 2: The Grading System Jordan Has Never Heard Of</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Osei documents his findings using the Standardization of Uveitis Nomenclature (SUN) grading system – an international classification that grades anterior chamber cells and flare on standardized scales. His note reads: ‘2+ cells, 1+ flare, early posterior synechiae, no CME, no posterior involvement.’ Any uveitis specialist anywhere in the world can read this and know exactly what Jordan’s eye looked like today.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Subspecialists speak a precise technical language that is opaque to generalists and invisible to patients. That precision is what makes high-quality subspecialty care transferable across providers, over time, and across institutions.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Dr. Patel’s referral note already mentions HLA-B27 and possible ankylosing spondylitis. Dr. Osei is an ophthalmologist, not a rheumatologist. How involved should he be in Jordan’s systemic workup?</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Not at all – the eye is his domain; systemic disease is rheumatology’s problem</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He should co-manage the systemic disease with rheumatology</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He should write a brief note to rheumatology summarizing the ocular findings and emphasizing that controlling systemic inflammation is critical to preventing uveitis recurrence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Osei does and why:</w:t>
            </w:r>
            <w:r>
              <w:rPr>
                <w:rFonts w:ascii="Arial" w:cs="Arial" w:eastAsia="Arial" w:hAnsi="Arial"/>
                <w:sz w:val="22"/>
                <w:szCs w:val="22"/>
              </w:rPr>
              <w:t xml:space="preserve"> He chooses C. Uveitis associated with HLA-B27 spondyloarthropathy recurs – often repeatedly – and the strongest predictor of recurrence frequency is how well the systemic inflammation is controlled. Dr. Osei writes: ‘Recurrence prevention in HLA-B27 uveitis depends on systemic inflammation control. Recommend prompt rheumatologic evaluation and consideration of biologic therapy.’</w:t>
            </w:r>
          </w:p>
        </w:tc>
      </w:tr>
    </w:tbl>
    <w:p>
      <w:pPr>
        <w:spacing w:after="80"/>
      </w:pPr>
      <w:r>
        <w:t xml:space="preserve"/>
      </w:r>
    </w:p>
    <w:p>
      <w:pPr>
        <w:pStyle w:val="Heading3"/>
        <w:spacing w:before="240" w:after="120"/>
      </w:pPr>
      <w:r>
        <w:rPr>
          <w:rFonts w:ascii="Arial" w:cs="Arial" w:eastAsia="Arial" w:hAnsi="Arial"/>
          <w:b/>
          <w:bCs/>
          <w:sz w:val="24"/>
          <w:szCs w:val="24"/>
        </w:rPr>
        <w:t xml:space="preserve">Moment 3: The Patient Conversation</w:t>
      </w:r>
    </w:p>
    <w:p>
      <w:pPr>
        <w:spacing w:after="180"/>
        <w:ind w:left="720"/>
      </w:pPr>
      <w:r>
        <w:rPr>
          <w:rFonts w:ascii="Arial" w:cs="Arial" w:eastAsia="Arial" w:hAnsi="Arial"/>
          <w:b/>
          <w:bCs/>
          <w:sz w:val="22"/>
          <w:szCs w:val="22"/>
        </w:rPr>
        <w:t xml:space="preserve">Jordan says says:</w:t>
      </w:r>
      <w:r>
        <w:rPr>
          <w:rFonts w:ascii="Arial" w:cs="Arial" w:eastAsia="Arial" w:hAnsi="Arial"/>
          <w:i/>
          <w:iCs/>
          <w:sz w:val="22"/>
          <w:szCs w:val="22"/>
        </w:rPr>
        <w:t xml:space="preserve"> “What happens if I miss doses?”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Osei is direct: ‘The inflammation can get ahead of the treatment. And the longer it’s uncontrolled, the more likely it is to cause permanent damage to your lens or your vision. You have time right now. The synechiae we saw are early. I want to keep it that way.’ Jordan nods. He sets a phone alarm before he leaves the room.</w:t>
      </w:r>
    </w:p>
    <w:p>
      <w:pPr>
        <w:spacing w:after="80"/>
      </w:pPr>
      <w:r>
        <w:t xml:space="preserve"/>
      </w:r>
    </w:p>
    <w:p>
      <w:pPr>
        <w:pStyle w:val="Heading3"/>
        <w:spacing w:before="240" w:after="120"/>
      </w:pPr>
      <w:r>
        <w:rPr>
          <w:rFonts w:ascii="Arial" w:cs="Arial" w:eastAsia="Arial" w:hAnsi="Arial"/>
          <w:b/>
          <w:bCs/>
          <w:sz w:val="24"/>
          <w:szCs w:val="24"/>
        </w:rPr>
        <w:t xml:space="preserve">Moment 4: The Longitudinal Relationship</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Before Jordan leaves, Dr. Osei says: ‘I’ll probably see you again.’ Not because this episode will recur for certain, but because HLA-B27 uveitis is typically recurrent. He is already thinking about Jordan not as a one-time acute case but as a patient he may manage across years.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did you actually find on Jordan’s slit lamp exam, and how did you know what it meant?</w:t>
            </w:r>
          </w:p>
          <w:p>
            <w:pPr>
              <w:spacing w:after="180"/>
            </w:pPr>
            <w:r>
              <w:rPr>
                <w:rFonts w:ascii="Arial" w:cs="Arial" w:eastAsia="Arial" w:hAnsi="Arial"/>
                <w:sz w:val="22"/>
                <w:szCs w:val="22"/>
              </w:rPr>
              <w:t xml:space="preserve">On the slit lamp, I identified what we call cells and flare in the anterior chamber – white blood cells and protein floating in the aqueous humor, the fluid between the cornea and the iris. In normal eyes that fluid is perfectly clear. In Jordan’s case, I could see individual cells drifting through the beam of light, which means his immune system had breached the blood-aqueous barrier and was sending inflammatory cells directly into the eye. I also saw the early formation of posterior synechiae – adhesions where the inflamed iris was beginning to stick to the lens behind it. These findings together told me this was active, moderate anterior uveitis requiring immediate topical treatment.</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did you become an ophthalmologist, and how is it different from an optometrist?</w:t>
            </w:r>
          </w:p>
          <w:p>
            <w:pPr>
              <w:spacing w:after="180"/>
            </w:pPr>
            <w:r>
              <w:rPr>
                <w:rFonts w:ascii="Arial" w:cs="Arial" w:eastAsia="Arial" w:hAnsi="Arial"/>
                <w:sz w:val="22"/>
                <w:szCs w:val="22"/>
              </w:rPr>
              <w:t xml:space="preserve">I went to medical school for four years, then did a three-year ophthalmology residency, then a two-year fellowship in uveitis. Total training after college: nine years. Optometrists complete a four-year Doctor of Optometry program – they are primary eye care specialists who examine eyes, prescribe glasses and contacts, and manage many eye diseases including uveitis. Ophthalmologists are medical doctors who perform surgery and manage the most complex ocular diseases. In Jordan’s case, the optometrist can do the slit lamp exam and diagnose uveitis. What she can’t do is perform surgery if Jordan eventually needs periocular steroid injections or other procedures. We often co-manage patients, with the optometrist handling primary care and the ophthalmologist handling surgery and the most complex cases.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Should Jordan be worried about losing his vision?</w:t>
            </w:r>
          </w:p>
          <w:p>
            <w:pPr>
              <w:spacing w:after="180"/>
            </w:pPr>
            <w:r>
              <w:rPr>
                <w:rFonts w:ascii="Arial" w:cs="Arial" w:eastAsia="Arial" w:hAnsi="Arial"/>
                <w:sz w:val="22"/>
                <w:szCs w:val="22"/>
              </w:rPr>
              <w:t xml:space="preserve">That’s the right question to ask, and I want to answer it honestly. Anterior uveitis, when caught and treated promptly – which Jordan’s was – has a very good visual prognosis in most cases. The risks increase with delayed diagnosis, with recurrent episodes that aren’t treated aggressively, and with the development of complications like cataracts, glaucoma, or macular edema. The posterior synechiae I found today tell me this has been going on for at least a week or two. That’s why I’m treating aggressively now and why I want to see him back in five days rather than a week. If Jordan follows through with his drops and his rheumatology care, his prognosis is good.</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Ophthalmologist</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MD or DO degree, 4 years of medical school, 1 year of internship, 3 years of ophthalmology residency (8 years total). Fellowship in subspecialty areas adds 1–2 additional years.</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Ophthalmologists occupy a unique position: they are surgeons, diagnosticians, and longitudinal care providers simultaneously. The slit lamp gives them access to information no other clinician can obtain.</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drawn to both the precision of technical procedures and the diagnostic complexity of systemic disease, you want long-term relationships with patients around a chronic condition, and you find the eye genuinely fascinating.</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6: Rheumatologist – Connecting the System</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Ten days after Jordan’s urgent care visit. Location: Stanford rheumatology clinic. Jordan’s HLA-B27 has come back positive. ESR 48, CRP 2.4. Dr. Patel’s referral note and Dr. Osei’s ophthalmology summary are both in the chart.</w:t>
            </w:r>
          </w:p>
          <w:p>
            <w:pPr>
              <w:spacing w:after="180"/>
            </w:pPr>
            <w:r>
              <w:rPr>
                <w:rFonts w:ascii="Arial" w:cs="Arial" w:eastAsia="Arial" w:hAnsi="Arial"/>
                <w:sz w:val="22"/>
                <w:szCs w:val="22"/>
              </w:rPr>
              <w:t xml:space="preserve">You are shadowing Dr. Nakamura, a rheumatologist with fellowship training in inflammatory arthritis and spondyloarthropathies. Before Jordan walks in, she already has a working diagnosis.</w:t>
            </w:r>
          </w:p>
        </w:tc>
      </w:tr>
    </w:tbl>
    <w:p>
      <w:pPr>
        <w:spacing w:after="80"/>
      </w:pPr>
      <w:r>
        <w:t xml:space="preserve"/>
      </w:r>
    </w:p>
    <w:p>
      <w:pPr>
        <w:pStyle w:val="Heading3"/>
        <w:spacing w:before="240" w:after="120"/>
      </w:pPr>
      <w:r>
        <w:rPr>
          <w:rFonts w:ascii="Arial" w:cs="Arial" w:eastAsia="Arial" w:hAnsi="Arial"/>
          <w:b/>
          <w:bCs/>
          <w:sz w:val="24"/>
          <w:szCs w:val="24"/>
        </w:rPr>
        <w:t xml:space="preserve">Moment 1: Reading the Chart Before the Patient Arrives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Nakamura reads Jordan’s chart in the hallway outside his room for three minutes without writing anything. When she finishes, she says to you: ‘Twenty-year-old male. HLA-B27 positive. Anterior uveitis. Inflammatory low back pain with morning stiffness. Sacroiliitis on MRI. GI symptoms. This is axial spondyloarthritis with extra-articular manifestations. The question today is not the diagnosis. It is the extent of disease, the trajectory, and what we start.’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Rheumatologists often arrive at a patient’s room already holding a provisional diagnosis, built from the chart before the first handshake. The clinical encounter then becomes a process of confirming, refining, and expanding that diagnosis.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Dr. Nakamura has a confident working diagnosis before she meets Jordan. What is the risk of arriving with a diagnosis already in mind?</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No risk – pattern recognition is what subspecialty training is for</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Anchoring bias: a clinician committed to one diagnosis may fail to elicit or integrate information that points elsewhere</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It is only a risk if the clinician doesn’t share the diagnosis with the patient at the start</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Nakamura does and why:</w:t>
            </w:r>
            <w:r>
              <w:rPr>
                <w:rFonts w:ascii="Arial" w:cs="Arial" w:eastAsia="Arial" w:hAnsi="Arial"/>
                <w:sz w:val="22"/>
                <w:szCs w:val="22"/>
              </w:rPr>
              <w:t xml:space="preserve"> She acknowledges B – and has built her interview process to compensate for it. She always asks open-ended questions first, listens fully before confirming, and explicitly checks for features that would argue against her working diagnosis. She asks about skin rashes (psoriasis can drive a similar picture), eye discharge, and bowel symptoms in detail. The diagnosis holds. But the discipline of looking for contradictory evidence is the check against anchoring.</w:t>
            </w:r>
          </w:p>
        </w:tc>
      </w:tr>
    </w:tbl>
    <w:p>
      <w:pPr>
        <w:spacing w:after="80"/>
      </w:pPr>
      <w:r>
        <w:t xml:space="preserve"/>
      </w:r>
    </w:p>
    <w:p>
      <w:pPr>
        <w:pStyle w:val="Heading3"/>
        <w:spacing w:before="240" w:after="120"/>
      </w:pPr>
      <w:r>
        <w:rPr>
          <w:rFonts w:ascii="Arial" w:cs="Arial" w:eastAsia="Arial" w:hAnsi="Arial"/>
          <w:b/>
          <w:bCs/>
          <w:sz w:val="24"/>
          <w:szCs w:val="24"/>
        </w:rPr>
        <w:t xml:space="preserve">Moment 2: The Examination That Confirms What Imaging Suggested</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Nakamura assesses spinal mobility with the modified Schober test. She applies direct pressure over both sacroiliac joints: positive FABER and FADIR tests bilaterally. She examines Jordan’s entheses – tendon and ligament attachment sites – and finds tenderness at both Achilles insertions and the left patellar tendon.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Enthesitis – inflammation at tendon insertion sites – is a hallmark of spondyloarthropathy that most providers do not examine for routinely. Finding it at the Achilles and the patella confirms that Jordan’s inflammatory disease is not limited to his spine and his eye. It is distributed. That finding will shape how aggressively Dr. Nakamura treats and how broadly she monitors.</w:t>
            </w:r>
          </w:p>
        </w:tc>
      </w:tr>
    </w:tbl>
    <w:p>
      <w:pPr>
        <w:spacing w:after="80"/>
      </w:pPr>
      <w:r>
        <w:t xml:space="preserve"/>
      </w:r>
    </w:p>
    <w:p>
      <w:pPr>
        <w:pStyle w:val="Heading3"/>
        <w:spacing w:before="240" w:after="120"/>
      </w:pPr>
      <w:r>
        <w:rPr>
          <w:rFonts w:ascii="Arial" w:cs="Arial" w:eastAsia="Arial" w:hAnsi="Arial"/>
          <w:b/>
          <w:bCs/>
          <w:sz w:val="24"/>
          <w:szCs w:val="24"/>
        </w:rPr>
        <w:t xml:space="preserve">Moment 3: The Treatment Decision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Jordan is twenty years old. Starting a TNF inhibitor means indefinite immunosuppression, regular monitoring, infection precautions, and tuberculosis screening. But his disease is active and multi-system. What should Dr. Nakamura recommend?</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Continue NSAIDs and add physical therapy – reserve biologics for older patients with more established disease</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Start adalimumab now – active uveitis in HLA-B27 spondyloarthropathy is a clear indication, and early treatment prevents structural damage</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Wait three more months and re-evaluate – the disease may stabilize on its own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Nakamura does and why:</w:t>
            </w:r>
            <w:r>
              <w:rPr>
                <w:rFonts w:ascii="Arial" w:cs="Arial" w:eastAsia="Arial" w:hAnsi="Arial"/>
                <w:sz w:val="22"/>
                <w:szCs w:val="22"/>
              </w:rPr>
              <w:t xml:space="preserve"> She recommends B, and she explains why at length. Early treatment of axial spondyloarthritis with a biologic, before radiographic damage is established, produces better long-term outcomes. Jordan’s uveitis is an independent indication for adalimumab. His youth is an argument for, not against, early treatment: the decades of inflammatory activity ahead of him, if uncontrolled, carry a higher cumulative risk than the risks of biologic therapy.</w:t>
            </w:r>
          </w:p>
        </w:tc>
      </w:tr>
    </w:tbl>
    <w:p>
      <w:pPr>
        <w:spacing w:after="80"/>
      </w:pPr>
      <w:r>
        <w:t xml:space="preserve"/>
      </w:r>
    </w:p>
    <w:p>
      <w:pPr>
        <w:pStyle w:val="Heading3"/>
        <w:spacing w:before="240" w:after="120"/>
      </w:pPr>
      <w:r>
        <w:rPr>
          <w:rFonts w:ascii="Arial" w:cs="Arial" w:eastAsia="Arial" w:hAnsi="Arial"/>
          <w:b/>
          <w:bCs/>
          <w:sz w:val="24"/>
          <w:szCs w:val="24"/>
        </w:rPr>
        <w:t xml:space="preserve">Moment 4: The Coordinated Care Plan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Nakamura dictates a structured care plan. She writes to Dr. Osei: ‘Agree with ocular management. Starting adalimumab 40mg every two weeks will address the uveitis as a shared indication.’ She writes to Dr. Patel: ‘Thank you for the excellent workup and prompt referral. Jordan is now under rheumatologic care.’ She flags a GI referral. She hands Jordan a one-page document for new spondyloarthropathy patients, with her direct nurse line at the top.</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is ankylosing spondylitis, and how serious is this for Jordan?</w:t>
            </w:r>
          </w:p>
          <w:p>
            <w:pPr>
              <w:spacing w:after="180"/>
            </w:pPr>
            <w:r>
              <w:rPr>
                <w:rFonts w:ascii="Arial" w:cs="Arial" w:eastAsia="Arial" w:hAnsi="Arial"/>
                <w:sz w:val="22"/>
                <w:szCs w:val="22"/>
              </w:rPr>
              <w:t xml:space="preserve">Ankylosing spondylitis – we often call it AS – is an inflammatory arthritis that primarily affects the spine and sacroiliac joints. The word ‘ankylosing’ literally means ‘fusing.’ In its most severe form, the spine gradually ossifies, forming bone bridges between vertebrae that can result in a completely rigid spine over decades. But here’s the important message for Jordan: we caught this early, and the last 20 years of rheumatology have been revolutionary for AS. Biologic medications – specifically anti-TNF agents like adalimumab, or anti-IL-17 agents like secukinumab – have transformed outcomes. Many patients today achieve complete remission and live entirely normal lives. Jordan’s future with AS is shaped by how consistently he manages this now, not by the diagnosis itself.</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is rheumatology different from other medical specialties?</w:t>
            </w:r>
          </w:p>
          <w:p>
            <w:pPr>
              <w:spacing w:after="180"/>
            </w:pPr>
            <w:r>
              <w:rPr>
                <w:rFonts w:ascii="Arial" w:cs="Arial" w:eastAsia="Arial" w:hAnsi="Arial"/>
                <w:sz w:val="22"/>
                <w:szCs w:val="22"/>
              </w:rPr>
              <w:t xml:space="preserve">Rheumatology is genuinely unlike other specialties. We deal with diseases that affect every organ system simultaneously – the joints, the eyes, the kidneys, the lungs, the skin, the gut. There is almost no rheumatologic condition that is confined to one organ. That means I have to think like an internist while also being an expert in immunology, musculoskeletal medicine, and now genomics. Our patients also tend to have decades-long relationships with us. I’ve seen Jordan twice – I’ll likely be his rheumatologist for the next 30 years. That continuity is extraordinary in medicine. If you’re a student who loves diagnostic puzzles, dislikes procedural monotony, and values long-term patient relationships, I’d strongly encourage you to consider rheumatology.</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happens if medications don’t work for Jordan?</w:t>
            </w:r>
          </w:p>
          <w:p>
            <w:pPr>
              <w:spacing w:after="180"/>
            </w:pPr>
            <w:r>
              <w:rPr>
                <w:rFonts w:ascii="Arial" w:cs="Arial" w:eastAsia="Arial" w:hAnsi="Arial"/>
                <w:sz w:val="22"/>
                <w:szCs w:val="22"/>
              </w:rPr>
              <w:t xml:space="preserve">We have an increasingly rich toolkit. NSAIDs like naproxen or diclofenac are first-line and work well for many patients. If Jordan doesn’t respond adequately, we have three approved classes of biologics for AS: anti-TNF agents (adalimumab, etanercept, certolizumab), anti-IL-17 agents (secukinumab, ixekizumab), and a JAK inhibitor (upadacitinib) recently approved. These are monoclonal antibodies that block specific inflammatory cytokines – molecular scalpels that interrupt the inflammatory pathway while leaving much of the immune system intact. The choice between them depends on Jordan’s comorbidities, his insurance, and whether he develops IBD or psoriasis as part of his HLA-B27 spectrum disease.</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did you become a rheumatologist?</w:t>
            </w:r>
          </w:p>
          <w:p>
            <w:pPr>
              <w:spacing w:after="180"/>
            </w:pPr>
            <w:r>
              <w:rPr>
                <w:rFonts w:ascii="Arial" w:cs="Arial" w:eastAsia="Arial" w:hAnsi="Arial"/>
                <w:sz w:val="22"/>
                <w:szCs w:val="22"/>
              </w:rPr>
              <w:t xml:space="preserve">I completed medical school, then a three-year internal medicine residency where I saw the full breadth of medicine. Then I chose rheumatology for my two-year fellowship – the training period after residency where you specialize. I was drawn to the intellectual complexity and to the immunology – I find the science genuinely beautiful. The challenge of rheumatology is that we often don’t have a single dramatic test or procedure that confirms a diagnosis. It requires synthesizing history, exam, labs, and imaging into a clinical picture – and being comfortable with uncertainty while that picture develops over months. That’s not for everyone. For me, it’s exactly what makes the work compelling.</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Rheumatologist</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MD or DO degree, 4 years of medical school, 3-year internal medicine residency, 2-year rheumatology fellowship. 9–10 years after undergraduate study.</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Rheumatologists manage diseases that cross organ systems, defy simple categorization, and require long-term relationships. The diagnostic work is intellectually demanding; the therapeutic work is collaborative; the longitudinal relationships are among the most sustained in medicine.</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love the detective work of systemic inflammatory disease, you want to hold the long view of a patient’s care across decades, and you find the immune system – when it turns against the body it is supposed to protect – the most interesting puzzle in medicine.</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7: Hospitalist – Inpatient Care for an AS Exacerbation</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Fourteen months after Jordan’s diagnosis. Jordan is twenty-one. He has been on adalimumab for a year, and his uveitis has not recurred. But three days ago he developed severe bilateral hip pain, high fevers, and was unable to walk. His rheumatologist directed him to the emergency department. He has been admitted.</w:t>
            </w:r>
          </w:p>
          <w:p>
            <w:pPr>
              <w:spacing w:after="180"/>
            </w:pPr>
            <w:r>
              <w:rPr>
                <w:rFonts w:ascii="Arial" w:cs="Arial" w:eastAsia="Arial" w:hAnsi="Arial"/>
                <w:sz w:val="22"/>
                <w:szCs w:val="22"/>
              </w:rPr>
              <w:t xml:space="preserve">You are shadowing Dr. Kim, a hospitalist whose entire practice is inpatient medicine. She received a brief handoff from the emergency department and has just reviewed Jordan’s chart.</w:t>
            </w:r>
          </w:p>
        </w:tc>
      </w:tr>
    </w:tbl>
    <w:p>
      <w:pPr>
        <w:spacing w:after="80"/>
      </w:pPr>
      <w:r>
        <w:t xml:space="preserve"/>
      </w:r>
    </w:p>
    <w:p>
      <w:pPr>
        <w:pStyle w:val="Heading3"/>
        <w:spacing w:before="240" w:after="120"/>
      </w:pPr>
      <w:r>
        <w:rPr>
          <w:rFonts w:ascii="Arial" w:cs="Arial" w:eastAsia="Arial" w:hAnsi="Arial"/>
          <w:b/>
          <w:bCs/>
          <w:sz w:val="24"/>
          <w:szCs w:val="24"/>
        </w:rPr>
        <w:t xml:space="preserve">Moment 1: The Admission Assessment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Kim enters Jordan’s room at 7:30 a.m. He is lying still in the bed, both hips in a position of external rotation. He grimaces when she touches his right hip. His temperature is 38.9. His CRP has jumped from his baseline of 0.4 to 14.2. His white count is 14,000.</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The ED differential on admission is broad: AS flare, septic arthritis (an infected joint – a surgical emergency), psoas abscess, or adverse drug reaction to adalimumab. Adalimumab is an immunosuppressant: it could be masking a serious infection. Dr. Kim needs to work it out fast.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Hospitalists manage diagnostic uncertainty at higher velocity and higher stakes than almost any outpatient setting. Dr. Kim does not have the luxury of scheduling follow-up in two weeks. Jordan is in front of her, febrile, unable to walk, on an immunosuppressant. The treatments for each possible diagnosis are not just different but potentially harmful if applied to the wrong one.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Septic arthritis requires immediate joint aspiration and, if confirmed, surgical washout. AS flare requires steroids and continued immunosuppression. These are opposite interventions. What does Dr. Kim do first?</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Hold adalimumab and start empiric antibiotics while arranging joint aspiration</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Start IV methylprednisolone for presumed AS flare – the pattern fits and he is a known AS patient</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Order urgent joint aspiration before any treatment, hold adalimumab, and consult rheumatology and orthopedic surgery simultaneously</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Kim does and why:</w:t>
            </w:r>
            <w:r>
              <w:rPr>
                <w:rFonts w:ascii="Arial" w:cs="Arial" w:eastAsia="Arial" w:hAnsi="Arial"/>
                <w:sz w:val="22"/>
                <w:szCs w:val="22"/>
              </w:rPr>
              <w:t xml:space="preserve"> She chooses C. Starting steroids before ruling out infection is dangerous: steroids suppress the immune response and can mask a worsening infection already partially suppressed by adalimumab. Starting antibiotics before aspiration may sterilize the fluid and give a false negative. The only way to definitively distinguish septic arthritis from inflammatory arthritis is synovial fluid analysis. Dr. Kim orders the aspiration, holds adalimumab pending results, and makes three phone calls within twenty minutes: rheumatology, orthopedic surgery, and infectious disease.</w:t>
            </w:r>
          </w:p>
        </w:tc>
      </w:tr>
    </w:tbl>
    <w:p>
      <w:pPr>
        <w:spacing w:after="80"/>
      </w:pPr>
      <w:r>
        <w:t xml:space="preserve"/>
      </w:r>
    </w:p>
    <w:p>
      <w:pPr>
        <w:pStyle w:val="Heading3"/>
        <w:spacing w:before="240" w:after="120"/>
      </w:pPr>
      <w:r>
        <w:rPr>
          <w:rFonts w:ascii="Arial" w:cs="Arial" w:eastAsia="Arial" w:hAnsi="Arial"/>
          <w:b/>
          <w:bCs/>
          <w:sz w:val="24"/>
          <w:szCs w:val="24"/>
        </w:rPr>
        <w:t xml:space="preserve">Moment 2: The Team That Surrounds Jordan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Over the next three hours, you watch the inpatient team assemble around Jordan’s care. The orthopedic surgery fellow performs the hip aspiration under ultrasound guidance. The infectious disease team calls: hold antibiotics until results are back unless Jordan deteriorates. Rheumatology reviews the chart: ‘His pattern looks more like a flare than a septic joint, but we’ll defer to the fluid.’</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Meanwhile, nursing manages Jordan’s pain, IV access, and meal trays. Physical therapy has already visited to assess his functional status. A social worker has checked in because Jordan’s semester is at risk.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Hospitalists are the conductors of inpatient care. They do not perform the aspiration, consult the infectious disease specialist, or run the physical therapy session. They coordinate all of it, synthesize the information flowing in from multiple teams, and make the decisions that integrate those inputs into a coherent care plan.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Synovial fluid results return: white count 18,000, no organisms on Gram stain, culture pending at 48 hours. What does Dr. Kim do?</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Start antibiotics immediately – any elevated synovial white count in an immunocompromised patient is suspicious</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Treat as AS flare: start IV methylprednisolone, restart adalimumab after a brief hold</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Treat as AS flare with IV steroids while awaiting 48-hour cultures, with a clear protocol to pivot to antibiotics if cultures turn positive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Kim does and why:</w:t>
            </w:r>
            <w:r>
              <w:rPr>
                <w:rFonts w:ascii="Arial" w:cs="Arial" w:eastAsia="Arial" w:hAnsi="Arial"/>
                <w:sz w:val="22"/>
                <w:szCs w:val="22"/>
              </w:rPr>
              <w:t xml:space="preserve"> She chooses C, in agreement with rheumatology and infectious disease. A synovial WBC of 18,000 in a patient on a TNF inhibitor is consistent with inflammatory arthritis – immunosuppression blunts the immune response and produces lower cell counts even in the setting of infection. But the clinical picture (known AS, Gram stain negative) favors flare. She starts IV methylprednisolone and documents a clear protocol: if cultures turn positive at 48 hours, stop steroids, start antibiotics, and call orthopedic surgery.</w:t>
            </w:r>
          </w:p>
        </w:tc>
      </w:tr>
    </w:tbl>
    <w:p>
      <w:pPr>
        <w:spacing w:after="80"/>
      </w:pPr>
      <w:r>
        <w:t xml:space="preserve"/>
      </w:r>
    </w:p>
    <w:p>
      <w:pPr>
        <w:pStyle w:val="Heading3"/>
        <w:spacing w:before="240" w:after="120"/>
      </w:pPr>
      <w:r>
        <w:rPr>
          <w:rFonts w:ascii="Arial" w:cs="Arial" w:eastAsia="Arial" w:hAnsi="Arial"/>
          <w:b/>
          <w:bCs/>
          <w:sz w:val="24"/>
          <w:szCs w:val="24"/>
        </w:rPr>
        <w:t xml:space="preserve">Moment 3: The 48-Hour Pivot and Discharge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Forty-eight hours later, cultures are negative. Jordan’s fever has resolved. His hip pain has improved significantly. Dr. Kim transitions him to oral prednisone with a taper, restarts adalimumab, and begins discharge planning. The discharge summary she writes documents the full diagnostic reasoning, the differential that was ruled out, the treatment given, and the follow-up plan – written as if the next reader has no prior knowledge of Jordan’s history.</w:t>
      </w:r>
    </w:p>
    <w:p>
      <w:pPr>
        <w:spacing w:after="180"/>
        <w:ind w:left="720"/>
      </w:pPr>
      <w:r>
        <w:rPr>
          <w:rFonts w:ascii="Arial" w:cs="Arial" w:eastAsia="Arial" w:hAnsi="Arial"/>
          <w:b/>
          <w:bCs/>
          <w:sz w:val="22"/>
          <w:szCs w:val="22"/>
        </w:rPr>
        <w:t xml:space="preserve">Jordan says says:</w:t>
      </w:r>
      <w:r>
        <w:rPr>
          <w:rFonts w:ascii="Arial" w:cs="Arial" w:eastAsia="Arial" w:hAnsi="Arial"/>
          <w:i/>
          <w:iCs/>
          <w:sz w:val="22"/>
          <w:szCs w:val="22"/>
        </w:rPr>
        <w:t xml:space="preserve"> “Is this going to keep happening?”</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Kim is honest: ‘We don’t know for certain. What we do know is that the adalimumab was working – your uveitis hasn’t come back, and your baseline has been good. Your rheumatologist is the right person to talk to about adjusting your regimen. I’ll make sure she has everything she needs.’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is a hospitalist, and how is it different from a regular doctor?</w:t>
            </w:r>
          </w:p>
          <w:p>
            <w:pPr>
              <w:spacing w:after="180"/>
            </w:pPr>
            <w:r>
              <w:rPr>
                <w:rFonts w:ascii="Arial" w:cs="Arial" w:eastAsia="Arial" w:hAnsi="Arial"/>
                <w:sz w:val="22"/>
                <w:szCs w:val="22"/>
              </w:rPr>
              <w:t xml:space="preserve">A hospitalist is a physician whose entire practice is inpatient – I work exclusively in the hospital, not in an outpatient clinic. I don’t have a patient panel I follow over years. Instead, I manage the breadth of complex inpatient medicine: patients admitted for infections, cardiac events, strokes, cancer complications, medication reactions, chronic disease exacerbations like Jordan’s. Every patient I manage has been sick enough to require admission. The tradeoff is continuity – I don’t know Jordan’s history the way Dr. Nakamura does, which is why I rely heavily on the chart and a good handoff. The advantage is that I become expert in the acute management of complex illness across virtually every disease category.</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do you manage so many different kinds of problems?</w:t>
            </w:r>
          </w:p>
          <w:p>
            <w:pPr>
              <w:spacing w:after="180"/>
            </w:pPr>
            <w:r>
              <w:rPr>
                <w:rFonts w:ascii="Arial" w:cs="Arial" w:eastAsia="Arial" w:hAnsi="Arial"/>
                <w:sz w:val="22"/>
                <w:szCs w:val="22"/>
              </w:rPr>
              <w:t xml:space="preserve">The honest answer is that hospital medicine requires you to be genuinely good at breadth. I see rheumatologic emergencies, cardiac events, post-operative complications, sepsis, neurological events – all on the same day. What ties it together is a shared approach: rapid assessment of physiological stability, identifying what I know and what I don’t know, getting the right consultants on the phone, and synthesizing information from multiple teams into a coherent plan. I also rely heavily on clear communication – the discharge summary I write today will be read by Dr. Nakamura, Dr. Osei, and any physician who sees Jordan in an emergency room in the future. Getting that document right is a clinical responsibility.</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is the training path for hospital medicine?</w:t>
            </w:r>
          </w:p>
          <w:p>
            <w:pPr>
              <w:spacing w:after="180"/>
            </w:pPr>
            <w:r>
              <w:rPr>
                <w:rFonts w:ascii="Arial" w:cs="Arial" w:eastAsia="Arial" w:hAnsi="Arial"/>
                <w:sz w:val="22"/>
                <w:szCs w:val="22"/>
              </w:rPr>
              <w:t xml:space="preserve">You complete medical school – four years – and then a three-year internal medicine residency. After residency, some physicians do a fellowship in hospital medicine, which is now an ACGME-accredited training pathway, though many hospitalists go directly into practice after residency. Board certification is through the American Board of Internal Medicine. The field is growing rapidly because hospital systems have found that having dedicated inpatient specialists produces better outcomes and more efficient care than having outpatient physicians cover hospital call on top of their clinic schedules.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Hospitalist</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MD or DO degree, 4 years of medical school, 3-year internal medicine residency. Board certification through ABIM. 7 years after undergraduate study.</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Hospitalists practice medicine at the interface of complexity and urgency. Every patient has been sick enough to require admission. Every discharge requires active coordination across multiple teams and explicit handoff to the outpatient world.</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thrive in high-acuity environments, you want to manage the full breadth of complex inpatient medicine, and you find the challenge of holding diagnostic uncertainty while acting on incomplete information the most energizing version of clinical practice.</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r>
        <w:br w:type="page"/>
      </w:r>
    </w:p>
    <w:p>
      <w:pPr>
        <w:pStyle w:val="Heading1"/>
        <w:spacing w:before="480" w:after="240"/>
      </w:pPr>
      <w:r>
        <w:rPr>
          <w:rFonts w:ascii="Arial" w:cs="Arial" w:eastAsia="Arial" w:hAnsi="Arial"/>
          <w:b/>
          <w:bCs/>
          <w:color w:val="1F3864"/>
          <w:sz w:val="32"/>
          <w:szCs w:val="32"/>
        </w:rPr>
        <w:t xml:space="preserve">Additional Providers in Jordan’s Extended Care</w:t>
      </w:r>
    </w:p>
    <w:p>
      <w:pPr>
        <w:spacing w:after="180"/>
      </w:pPr>
      <w:r>
        <w:rPr>
          <w:rFonts w:ascii="Arial" w:cs="Arial" w:eastAsia="Arial" w:hAnsi="Arial"/>
          <w:sz w:val="22"/>
          <w:szCs w:val="22"/>
        </w:rPr>
        <w:t xml:space="preserve">The fourteen Shadow Tracks cover the core providers across Jordan’s care. The following providers also appear throughout Jordan’s story – each playing an essential role that students can explore through free-form platform questions. Their dialogues are included here as a reference for students and instructors, and as a preparation guide for mentor sessions with professionals in these roles.</w:t>
      </w:r>
    </w:p>
    <w:p>
      <w:pPr>
        <w:spacing w:after="80"/>
      </w:pPr>
      <w:r>
        <w:t xml:space="preserve"/>
      </w:r>
    </w:p>
    <w:p>
      <w:pPr>
        <w:pBdr>
          <w:bottom w:val="single" w:color="2E75B6" w:sz="6" w:space="1"/>
        </w:pBdr>
        <w:spacing w:before="0" w:after="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Nurse Practitioner (NP) – Rheumatology Follow-Up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At Jordan’s 3-month follow-up visit, he sees Jenna, the rheumatology NP who manages routine monitoring for the practice.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What’s the difference between an NP and a PA? You both seem to do similar things.</w:t>
            </w:r>
          </w:p>
          <w:p>
            <w:pPr>
              <w:spacing w:after="180"/>
            </w:pPr>
            <w:r>
              <w:rPr>
                <w:rFonts w:ascii="Arial" w:cs="Arial" w:eastAsia="Arial" w:hAnsi="Arial"/>
                <w:sz w:val="22"/>
                <w:szCs w:val="22"/>
              </w:rPr>
              <w:t xml:space="preserve">That’s a really thoughtful observation – and the honest answer is that our scope of practice overlaps significantly in daily clinical work. But our educational foundations are different. I came to this role as a nurse first – I worked as a bedside RN in internal medicine for four years before going back to get my master’s in nursing. My lens is fundamentally shaped by nursing philosophy: holistic care, patient advocacy, therapeutic relationship, health promotion. A PA comes from a different model – a generalist medical curriculum from day one, designed around diagnosis and medical management. In practice, both of us can evaluate patients, order tests, prescribe medications, and manage chronic conditions. But nursing philosophy shows up in how I practice: I spend more of Jordan’s visit asking about how he’s sleeping, how his stress level is, whether he has support at school – because I believe those things directly affect his inflammatory disease.</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do you actually monitor for someone with AS on NSAIDs?</w:t>
            </w:r>
          </w:p>
          <w:p>
            <w:pPr>
              <w:spacing w:after="180"/>
            </w:pPr>
            <w:r>
              <w:rPr>
                <w:rFonts w:ascii="Arial" w:cs="Arial" w:eastAsia="Arial" w:hAnsi="Arial"/>
                <w:sz w:val="22"/>
                <w:szCs w:val="22"/>
              </w:rPr>
              <w:t xml:space="preserve">At each visit I check: How is his pain and stiffness? Is he doing his physical therapy exercises? Any GI symptoms – Jordan already had some loose stools, so I watch this closely. I check inflammatory markers – ESR and CRP – to see if inflammation is controlled. I monitor blood pressure and kidney function. And I screen for the extra-articular manifestations of HLA-B27 disease that can develop over time: uveitis flares, which Jordan has already had; psoriasis; and inflammatory bowel disease. I’m basically asking: is his disease controlled, and is his treatment causing any new problems? If either answer is no, I involve Dr. Nakamura directly.</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Can NPs prescribe controlled substances and order imaging?</w:t>
            </w:r>
          </w:p>
          <w:p>
            <w:pPr>
              <w:spacing w:after="180"/>
            </w:pPr>
            <w:r>
              <w:rPr>
                <w:rFonts w:ascii="Arial" w:cs="Arial" w:eastAsia="Arial" w:hAnsi="Arial"/>
                <w:sz w:val="22"/>
                <w:szCs w:val="22"/>
              </w:rPr>
              <w:t xml:space="preserve">Yes to both – though this varies somewhat by state. Nurse practitioners have prescriptive authority for controlled substances in all 50 states, though DEA registration and some state-specific restrictions apply. We order any imaging or laboratory study as part of our independent practice. In the 26 or so full practice authority states, NPs can practice entirely independently. In others we have a collaborative agreement with a physician. In this rheumatology practice, I manage about 60% of the patient visits independently. Dr. Nakamura and I discuss complex cases regularly, but the routine monitoring visits for stable patients – like Jordan’s today – are entirely mine to manage.</w:t>
            </w:r>
          </w:p>
        </w:tc>
      </w:tr>
    </w:tbl>
    <w:p>
      <w:pPr>
        <w:spacing w:after="80"/>
      </w:pPr>
      <w:r>
        <w:t xml:space="preserve"/>
      </w:r>
    </w:p>
    <w:p>
      <w:pPr>
        <w:pStyle w:val="Heading2"/>
        <w:spacing w:before="360" w:after="180"/>
      </w:pPr>
      <w:r>
        <w:rPr>
          <w:rFonts w:ascii="Arial" w:cs="Arial" w:eastAsia="Arial" w:hAnsi="Arial"/>
          <w:b/>
          <w:bCs/>
          <w:color w:val="2E75B6"/>
          <w:sz w:val="28"/>
          <w:szCs w:val="28"/>
        </w:rPr>
        <w:t xml:space="preserve">Physical Therapist (DPT) – AS Exercise Program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Jordan has been referred to Marcus, a Doctor of Physical Therapy, for ankylosing spondylitis physical therapy.</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I thought PT was just for injuries. Why am I here for a chronic disease?</w:t>
            </w:r>
          </w:p>
          <w:p>
            <w:pPr>
              <w:spacing w:after="180"/>
            </w:pPr>
            <w:r>
              <w:rPr>
                <w:rFonts w:ascii="Arial" w:cs="Arial" w:eastAsia="Arial" w:hAnsi="Arial"/>
                <w:sz w:val="22"/>
                <w:szCs w:val="22"/>
              </w:rPr>
              <w:t xml:space="preserve">That’s one of the biggest misconceptions about physical therapy, and I’m glad you asked. Physical therapy isn’t just injury rehab – it’s the science of movement applied to all health conditions. For ankylosing spondylitis, exercise is actually one of the most evidence-supported treatments we have – stronger evidence than many medications. Here’s why: AS causes inflammation that can gradually lead to bone formation in the spine. Movement literally counteracts that process by improving flexibility, preventing the spine from settling into a flexed posture, and maintaining chest wall expansion – which matters because AS can reduce breathing capacity if left untreated. My goal with Jordan isn’t to fix an injury. It’s to protect the structure and function of his spine for the next 50 years.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does your evaluation of Jordan look like?</w:t>
            </w:r>
          </w:p>
          <w:p>
            <w:pPr>
              <w:spacing w:after="180"/>
            </w:pPr>
            <w:r>
              <w:rPr>
                <w:rFonts w:ascii="Arial" w:cs="Arial" w:eastAsia="Arial" w:hAnsi="Arial"/>
                <w:sz w:val="22"/>
                <w:szCs w:val="22"/>
              </w:rPr>
              <w:t xml:space="preserve">I start with a comprehensive musculoskeletal assessment. I measure spinal mobility in all planes using the BASMI – Bath Ankylosing Spondylitis Metrology Index – a standardized measurement tool that tracks disease progression. I also measure chest expansion, because AS affects the costovertebral joints. I assess hip and shoulder mobility, since those are commonly involved. Then I look at posture: is Jordan starting to develop the characteristic forward head, rounded shoulders, and flexed hip posture that AS produces if not addressed? All of this becomes the baseline I’ll measure against at every follow-up.</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kinds of exercises do you actually prescribe for AS?</w:t>
            </w:r>
          </w:p>
          <w:p>
            <w:pPr>
              <w:spacing w:after="180"/>
            </w:pPr>
            <w:r>
              <w:rPr>
                <w:rFonts w:ascii="Arial" w:cs="Arial" w:eastAsia="Arial" w:hAnsi="Arial"/>
                <w:sz w:val="22"/>
                <w:szCs w:val="22"/>
              </w:rPr>
              <w:t xml:space="preserve">The core of the AS exercise program involves three things: spinal extension exercises, chest expansion exercises, and aerobic conditioning. Extension exercises – like prone lying, cobras, and thoracic extension over a foam roller – counteract the flexion posture AS promotes. Chest expansion exercises include deep breathing techniques and rib cage mobilization. Aerobic exercise, particularly swimming, is excellent for AS because it provides full-body conditioning without axial loading. I also teach Jordan specific morning exercises he should do before getting out of bed, when stiffness is worst. The key is that this has to be a daily practice – not a twelve-week program. This is a forever exercise program, and my job is to make it sustainable.</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What’s the path to become a PT, and what kinds of PTs are there?</w:t>
            </w:r>
          </w:p>
          <w:p>
            <w:pPr>
              <w:spacing w:after="180"/>
            </w:pPr>
            <w:r>
              <w:rPr>
                <w:rFonts w:ascii="Arial" w:cs="Arial" w:eastAsia="Arial" w:hAnsi="Arial"/>
                <w:sz w:val="22"/>
                <w:szCs w:val="22"/>
              </w:rPr>
              <w:t xml:space="preserve">Physical therapy requires a Doctor of Physical Therapy degree – a three-year clinical doctorate after a four-year undergraduate degree. During my DPT, I did rotations in acute care, outpatient orthopedics, neuro, pediatrics, and home health. After graduation I sat for the NPTE licensure exam. I then did a year of clinical residency in orthopedics and became a board-certified Orthopedic Clinical Specialist. That’s optional but increasingly common. Within PT, the specialties are remarkable: orthopedic and sports PT (most common), neurological PT, pediatric PT, cardiovascular and pulmonary PT, women’s health PT, oncology PT. The DPT has genuinely transformed physical therapy into a doctoral-level clinical science.</w:t>
            </w:r>
          </w:p>
        </w:tc>
      </w:tr>
    </w:tbl>
    <w:p>
      <w:pPr>
        <w:spacing w:after="80"/>
      </w:pPr>
      <w:r>
        <w:t xml:space="preserve"/>
      </w:r>
    </w:p>
    <w:p>
      <w:pPr>
        <w:pStyle w:val="Heading2"/>
        <w:spacing w:before="360" w:after="180"/>
      </w:pPr>
      <w:r>
        <w:rPr>
          <w:rFonts w:ascii="Arial" w:cs="Arial" w:eastAsia="Arial" w:hAnsi="Arial"/>
          <w:b/>
          <w:bCs/>
          <w:color w:val="2E75B6"/>
          <w:sz w:val="28"/>
          <w:szCs w:val="28"/>
        </w:rPr>
        <w:t xml:space="preserve">Registered Nurse (RN) – Biologic Infusion Therapy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Jordan’s AS has not responded adequately to NSAIDs. His rheumatologist has initiated infliximab, a biologic given by IV infusion every 6–8 weeks. Jordan arrives at the infusion center and meets his infusion nurse, Tamara.</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is actually happening during an infusion like this?</w:t>
            </w:r>
          </w:p>
          <w:p>
            <w:pPr>
              <w:spacing w:after="180"/>
            </w:pPr>
            <w:r>
              <w:rPr>
                <w:rFonts w:ascii="Arial" w:cs="Arial" w:eastAsia="Arial" w:hAnsi="Arial"/>
                <w:sz w:val="22"/>
                <w:szCs w:val="22"/>
              </w:rPr>
              <w:t xml:space="preserve">You’re receiving infliximab – a monoclonal antibody – through an IV over about two hours. Monoclonal antibodies are proteins made in a laboratory that are specifically designed to bind to one molecular target – in this case, TNF-alpha, a cytokine that drives inflammation in your joints and eyes. When infliximab binds TNF-alpha, it neutralizes it before it can attach to cell receptors and trigger the inflammatory cascade. I monitor you throughout the infusion because infusion reactions, though not common, can occur – ranging from mild flushing and chills to, rarely, a serious allergic reaction. I check your vital signs at the start, every 30 minutes during the infusion, and at the end.</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What’s your role as a nurse here compared to what the doctor or NP does?</w:t>
            </w:r>
          </w:p>
          <w:p>
            <w:pPr>
              <w:spacing w:after="180"/>
            </w:pPr>
            <w:r>
              <w:rPr>
                <w:rFonts w:ascii="Arial" w:cs="Arial" w:eastAsia="Arial" w:hAnsi="Arial"/>
                <w:sz w:val="22"/>
                <w:szCs w:val="22"/>
              </w:rPr>
              <w:t xml:space="preserve">We each own a distinct part of Jordan’s care. The rheumatologist made the treatment decision and designed the regimen. The NP manages his between-infusion care, adjusting medications and tracking his inflammatory markers. My role is direct therapeutic administration and patient safety monitoring during the infusion itself – and patient education that is much deeper than what the physician visit allows time for. I spend two hours with Jordan every six to eight weeks. That’s not incidental – that’s a therapeutic relationship. I see his emotional state, I notice when he’s worried, I learn whether he’s actually doing his PT exercises. Nurses are the continuity in medicine.</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What’s the path from nursing student to infusion nurse?</w:t>
            </w:r>
          </w:p>
          <w:p>
            <w:pPr>
              <w:spacing w:after="180"/>
            </w:pPr>
            <w:r>
              <w:rPr>
                <w:rFonts w:ascii="Arial" w:cs="Arial" w:eastAsia="Arial" w:hAnsi="Arial"/>
                <w:sz w:val="22"/>
                <w:szCs w:val="22"/>
              </w:rPr>
              <w:t xml:space="preserve">Most infusion nurses start by getting a BSN – Bachelor of Science in Nursing – which is a four-year degree. After passing the NCLEX licensing exam, many spend several years in a hospital setting building clinical skills – med-surg, oncology, or ICU experience gives you the IV therapy and monitoring fundamentals that infusion nursing requires. Some nurses come directly into outpatient infusion after a few years of hospital experience. Oncology and infusion nurses can pursue the Oncology Certified Nurse (OCN) and Certified Registered Nurse Infusion (CRNI) specialty certifications. This is a growing field: as more biologic medications are approved for rheumatologic, neurologic, and oncologic conditions, the demand for skilled infusion nurses is expanding rapidly.</w:t>
            </w:r>
          </w:p>
        </w:tc>
      </w:tr>
    </w:tbl>
    <w:p>
      <w:pPr>
        <w:spacing w:after="80"/>
      </w:pPr>
      <w:r>
        <w:t xml:space="preserve"/>
      </w:r>
    </w:p>
    <w:p>
      <w:pPr>
        <w:pStyle w:val="Heading2"/>
        <w:spacing w:before="360" w:after="180"/>
      </w:pPr>
      <w:r>
        <w:rPr>
          <w:rFonts w:ascii="Arial" w:cs="Arial" w:eastAsia="Arial" w:hAnsi="Arial"/>
          <w:b/>
          <w:bCs/>
          <w:color w:val="2E75B6"/>
          <w:sz w:val="28"/>
          <w:szCs w:val="28"/>
        </w:rPr>
        <w:t xml:space="preserve">Social Worker (MSW/LCSW) – Whole-Person Support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Jordan’s rheumatologist refers him to Elena, the practice’s MSW, after he discloses he’s worried about costs and hasn’t told his parents about his diagnosis.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My doctor said I should talk to you. What do you actually do here?</w:t>
            </w:r>
          </w:p>
          <w:p>
            <w:pPr>
              <w:spacing w:after="180"/>
            </w:pPr>
            <w:r>
              <w:rPr>
                <w:rFonts w:ascii="Arial" w:cs="Arial" w:eastAsia="Arial" w:hAnsi="Arial"/>
                <w:sz w:val="22"/>
                <w:szCs w:val="22"/>
              </w:rPr>
              <w:t xml:space="preserve">I appreciate you coming in – and I know it can feel strange being referred to a social worker when you came in for a joint problem. But that’s actually exactly what I’m here for. My job is to think about your health in the context of your whole life – not just your SI joints. You’re 20 years old and just received a diagnosis of a chronic inflammatory disease that you’ll manage for the rest of your life. That’s a lot to absorb. You mentioned being worried about medication costs, you haven’t told your parents yet, and you’re managing this in the middle of college. My role is to help you figure out the practical pieces – insurance, financial assistance, school accommodations – and to be someone you can think out loud with about the bigger questions. Social workers in medical settings are clinical team members, not therapists in the traditional sense. We’re navigators, advocates, and counselors all at once.</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Can you actually help with the medication cost issue? The biologic costs thousands of dollars.</w:t>
            </w:r>
          </w:p>
          <w:p>
            <w:pPr>
              <w:spacing w:after="180"/>
            </w:pPr>
            <w:r>
              <w:rPr>
                <w:rFonts w:ascii="Arial" w:cs="Arial" w:eastAsia="Arial" w:hAnsi="Arial"/>
                <w:sz w:val="22"/>
                <w:szCs w:val="22"/>
              </w:rPr>
              <w:t xml:space="preserve">Yes – this is a major part of what I do. A few pathways we’ll explore together. First, are you on your parents’ insurance? At 26 and under, you likely are – so we’ll verify your coverage and understand your formulary. Second, most biologic manufacturers have patient assistance programs that can provide free medication to qualifying patients. Third, there are copay assistance cards that can dramatically reduce out-of-pocket costs for insured patients who don’t qualify for free medication. Fourth, your university may have a patient advocate or financial counselor who can help navigate healthcare costs. I’ll make the calls with you or on your behalf. This is a solvable problem – medication costs look overwhelming from the outside, but the system has safety valves that most patients don’t know about.</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I haven’t told my parents about the diagnosis. Is that weird?</w:t>
            </w:r>
          </w:p>
          <w:p>
            <w:pPr>
              <w:spacing w:after="180"/>
            </w:pPr>
            <w:r>
              <w:rPr>
                <w:rFonts w:ascii="Arial" w:cs="Arial" w:eastAsia="Arial" w:hAnsi="Arial"/>
                <w:sz w:val="22"/>
                <w:szCs w:val="22"/>
              </w:rPr>
              <w:t xml:space="preserve">Not at all weird – and it’s yours to share or not share on your own timeline. What I’d gently explore with you is: what’s driving the hesitation? Is it worry about how they’ll react? Wanting to protect them? Feeling like you need to have your own understanding of this before you can explain it to them? All of those are normal. I’d also ask: do you have support around you right now? Managing a new chronic diagnosis without anyone who knows what you’re going through can feel isolating, and isolation tends to worsen the experience of chronic illness. That doesn’t mean you have to tell your parents immediately. But if you’re carrying this entirely alone, we might think together about who in your life could be a confidant.</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kind of degree and training do you have?</w:t>
            </w:r>
          </w:p>
          <w:p>
            <w:pPr>
              <w:spacing w:after="180"/>
            </w:pPr>
            <w:r>
              <w:rPr>
                <w:rFonts w:ascii="Arial" w:cs="Arial" w:eastAsia="Arial" w:hAnsi="Arial"/>
                <w:sz w:val="22"/>
                <w:szCs w:val="22"/>
              </w:rPr>
              <w:t xml:space="preserve">I have a Master of Social Work – an MSW – from a two-year graduate program. Before that, a bachelor’s in psychology. After my MSW, I completed 3,000 hours of supervised clinical practice and passed the state board exam to become a Licensed Clinical Social Worker – an LCSW. That licensure allows me to provide psychotherapy and clinical assessment independently. Medical social workers work in hospitals, outpatient clinics, emergency departments, oncology centers, palliative care, and community health. It’s one of the most versatile clinical licenses in healthcare.</w:t>
            </w:r>
          </w:p>
        </w:tc>
      </w:tr>
    </w:tbl>
    <w:p>
      <w:pPr>
        <w:spacing w:after="80"/>
      </w:pPr>
      <w:r>
        <w:t xml:space="preserve"/>
      </w:r>
    </w:p>
    <w:p>
      <w:pPr>
        <w:pStyle w:val="Heading2"/>
        <w:spacing w:before="360" w:after="180"/>
      </w:pPr>
      <w:r>
        <w:rPr>
          <w:rFonts w:ascii="Arial" w:cs="Arial" w:eastAsia="Arial" w:hAnsi="Arial"/>
          <w:b/>
          <w:bCs/>
          <w:color w:val="2E75B6"/>
          <w:sz w:val="28"/>
          <w:szCs w:val="28"/>
        </w:rPr>
        <w:t xml:space="preserve">Registered Dietitian (RD/RDN) – Nutrition and Inflammation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Jordan is referred to Sophia, an RD, by his rheumatologist after noting ongoing GI symptoms and interest in dietary strategies for AS.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Can food actually help with ankylosing spondylitis? Or is this just wellness advice?</w:t>
            </w:r>
          </w:p>
          <w:p>
            <w:pPr>
              <w:spacing w:after="180"/>
            </w:pPr>
            <w:r>
              <w:rPr>
                <w:rFonts w:ascii="Arial" w:cs="Arial" w:eastAsia="Arial" w:hAnsi="Arial"/>
                <w:sz w:val="22"/>
                <w:szCs w:val="22"/>
              </w:rPr>
              <w:t xml:space="preserve">This is an important question, and I want to be honest with you: the evidence base for diet in AS specifically is less robust than for cardiovascular disease or type 2 diabetes. That said, there are good reasons to optimize nutrition here. First, chronic inflammation drives disease in AS – and dietary patterns that reduce systemic inflammation, like the Mediterranean diet, have solid evidence for reducing inflammatory biomarkers including CRP. Second, your GI symptoms raise the possibility of subclinical inflammatory bowel disease, which occurs in about 5–10% of AS patients. Diet can meaningfully affect IBD symptoms. Third, long-term NSAID use increases GI risk, so nutritional strategies to protect the gut lining are genuinely clinically relevant. I won’t oversell this – but I also won’t dismiss it.</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specific dietary changes would you recommend for Jordan?</w:t>
            </w:r>
          </w:p>
          <w:p>
            <w:pPr>
              <w:spacing w:after="180"/>
            </w:pPr>
            <w:r>
              <w:rPr>
                <w:rFonts w:ascii="Arial" w:cs="Arial" w:eastAsia="Arial" w:hAnsi="Arial"/>
                <w:sz w:val="22"/>
                <w:szCs w:val="22"/>
              </w:rPr>
              <w:t xml:space="preserve">I’d start with a thorough dietary history – what Jordan actually eats. Then I’d prioritize: increasing omega-3 fatty acids from fatty fish, flaxseed, and walnuts, which have anti-inflammatory effects; reducing ultra-processed foods, refined carbohydrates, and added sugars that drive inflammatory signaling; emphasizing colorful vegetables and fruits for their polyphenol content; and increasing fiber to support gut microbiome diversity. Given his GI symptoms, I’d also trial a moderate low-FODMAP approach temporarily to see if certain fermentable carbohydrates are contributing to his loose stools. His NSAID use means I want him eating full meals with those – never on an empty stomach.</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training do dietitians have, and how is it different from a nutritionist?</w:t>
            </w:r>
          </w:p>
          <w:p>
            <w:pPr>
              <w:spacing w:after="180"/>
            </w:pPr>
            <w:r>
              <w:rPr>
                <w:rFonts w:ascii="Arial" w:cs="Arial" w:eastAsia="Arial" w:hAnsi="Arial"/>
                <w:sz w:val="22"/>
                <w:szCs w:val="22"/>
              </w:rPr>
              <w:t xml:space="preserve">‘Nutritionist’ is an unprotected title in most US states – anyone can call themselves a nutritionist regardless of training. A Registered Dietitian Nutritionist – RDN – is a protected credential requiring a bachelor’s degree with specific coursework in nutrition science, an accredited supervised practice program of at least 1,200 hours, and passing the CDR board exam. We’re clinical scientists, not health influencers. We provide Medical Nutrition Therapy – a specific, evidence-based clinical intervention that insurance can reimburse for conditions like diabetes, chronic kidney disease, eating disorders, IBD, and increasingly for chronic inflammatory conditions. My role in Jordan’s care is not to tell him to eat more kale. It’s to assess his specific nutritional status, identify deficiencies and risks, and design an individualized therapeutic nutrition plan that integrates with his medical management.</w:t>
            </w:r>
          </w:p>
        </w:tc>
      </w:tr>
    </w:tbl>
    <w:p>
      <w:pPr>
        <w:spacing w:after="80"/>
      </w:pPr>
      <w:r>
        <w:t xml:space="preserve"/>
      </w:r>
    </w:p>
    <w:p>
      <w:pPr>
        <w:pStyle w:val="Heading2"/>
        <w:spacing w:before="360" w:after="180"/>
      </w:pPr>
      <w:r>
        <w:rPr>
          <w:rFonts w:ascii="Arial" w:cs="Arial" w:eastAsia="Arial" w:hAnsi="Arial"/>
          <w:b/>
          <w:bCs/>
          <w:color w:val="2E75B6"/>
          <w:sz w:val="28"/>
          <w:szCs w:val="28"/>
        </w:rPr>
        <w:t xml:space="preserve">Genetic Counselor – HLA-B27, Inheritance, and Family Planning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Jordan asks his rheumatologist about whether his children could inherit AS. He is referred to Isabel, a genetic counselor.</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Does having HLA-B27 mean my kids will definitely get ankylosing spondylitis?</w:t>
            </w:r>
          </w:p>
          <w:p>
            <w:pPr>
              <w:spacing w:after="180"/>
            </w:pPr>
            <w:r>
              <w:rPr>
                <w:rFonts w:ascii="Arial" w:cs="Arial" w:eastAsia="Arial" w:hAnsi="Arial"/>
                <w:sz w:val="22"/>
                <w:szCs w:val="22"/>
              </w:rPr>
              <w:t xml:space="preserve">Not at all – and this is exactly the nuance I’m here to help you understand. HLA-B27 is inherited in an autosomal pattern, meaning each of your future children has roughly a 50% chance of inheriting the gene from you. But here’s the critical point: carrying HLA-B27 is not the same as developing AS. About 8% of the general European population carries B27. Of those who carry it, only about 1–5% develop AS, even without any family history. With a first-degree relative – like you – who has AS, the risk for a B27-positive child is higher, perhaps 15–20%. So the math for your children is: 50% chance of inheriting B27, and if they inherit it, roughly a 15–20% chance of developing AS. Most of your children who inherit B27 will not develop AS.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does a genetic counselor actually do? Are you a doctor?</w:t>
            </w:r>
          </w:p>
          <w:p>
            <w:pPr>
              <w:spacing w:after="180"/>
            </w:pPr>
            <w:r>
              <w:rPr>
                <w:rFonts w:ascii="Arial" w:cs="Arial" w:eastAsia="Arial" w:hAnsi="Arial"/>
                <w:sz w:val="22"/>
                <w:szCs w:val="22"/>
              </w:rPr>
              <w:t xml:space="preserve">I’m not a physician – I have a Master of Science in Genetic Counseling, a two-year graduate program that combines genetics, medicine, and counseling psychology. That training positions me specifically at the intersection of complex genetic information and human decision-making. I can explain what a genetic test result means, but also how it makes you feel, how it affects your family dynamics, and what decisions you might face as a result. Physicians are experts in diagnosis and treatment; I’m an expert in genetic risk communication and the human experience of living with genetic information. In clinical genetics, I often see patients before they see the physician geneticist, conduct the family history, order preliminary testing, and then do the counseling follow-up after diagnosis.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Should Jordan tell his sister and his father about this? What are the implications for them?</w:t>
            </w:r>
          </w:p>
          <w:p>
            <w:pPr>
              <w:spacing w:after="180"/>
            </w:pPr>
            <w:r>
              <w:rPr>
                <w:rFonts w:ascii="Arial" w:cs="Arial" w:eastAsia="Arial" w:hAnsi="Arial"/>
                <w:sz w:val="22"/>
                <w:szCs w:val="22"/>
              </w:rPr>
              <w:t xml:space="preserve">This is one of the most ethically interesting questions in genetic medicine, and there’s no simple answer. Your father has ‘some kind of arthritis’ – uncharacterized. Given your HLA-B27 positive result and AS diagnosis, there’s a real possibility your father has AS that was never properly diagnosed, which is actually quite common – AS takes an average of 8–10 years to diagnose. If so, he might benefit from rheumatology evaluation and biologic therapy he’s never received. Your sister has a 50% chance of having inherited B27 from whichever parent carries it. Whether she wants to know that – whether she’d want genetic testing – is entirely her decision. My role is to help you think through what information might be useful to share, what the implications are, and how to have those conversations in a way that respects everyone’s autonomy.</w:t>
            </w:r>
          </w:p>
        </w:tc>
      </w:tr>
    </w:tbl>
    <w:p>
      <w:pPr>
        <w:spacing w:after="80"/>
      </w:pPr>
      <w:r>
        <w:t xml:space="preserve"/>
      </w:r>
    </w:p>
    <w:p>
      <w:pPr>
        <w:pStyle w:val="Heading2"/>
        <w:spacing w:before="360" w:after="180"/>
      </w:pPr>
      <w:r>
        <w:rPr>
          <w:rFonts w:ascii="Arial" w:cs="Arial" w:eastAsia="Arial" w:hAnsi="Arial"/>
          <w:b/>
          <w:bCs/>
          <w:color w:val="2E75B6"/>
          <w:sz w:val="28"/>
          <w:szCs w:val="28"/>
        </w:rPr>
        <w:t xml:space="preserve">Radiologic Technologist (RT) + Radiologist – Jordan’s Imaging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Jordan goes to radiology for SI joint X-rays and then a spinal MRI. He meets Keisha (RT) and later Dr. Park (Radiologist).</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[To Keisha, RT] What exactly are you going to do, and what training did you need for this?</w:t>
            </w:r>
          </w:p>
          <w:p>
            <w:pPr>
              <w:spacing w:after="180"/>
            </w:pPr>
            <w:r>
              <w:rPr>
                <w:rFonts w:ascii="Arial" w:cs="Arial" w:eastAsia="Arial" w:hAnsi="Arial"/>
                <w:sz w:val="22"/>
                <w:szCs w:val="22"/>
              </w:rPr>
              <w:t xml:space="preserve">I’m going to take a series of X-rays of your sacroiliac joints – the joints where your pelvis meets your spine. I’ll have you lie on the table in a few different positions so we can see those joints from multiple angles. My job is to position you precisely so the anatomy we need is centered in the image, select the correct technical parameters to optimize contrast and minimize your radiation exposure, and produce images sharp enough for the radiologist to detect subtle findings. For my training: I completed a two-year associate degree in Radiologic Technology, did clinical rotations in a hospital, and passed the ARRT certification exam. I’m also certified in CT, so I can run the scanner too.</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[To Keisha] Why does my position matter so much? Can’t you just take the picture?</w:t>
            </w:r>
          </w:p>
          <w:p>
            <w:pPr>
              <w:spacing w:after="180"/>
            </w:pPr>
            <w:r>
              <w:rPr>
                <w:rFonts w:ascii="Arial" w:cs="Arial" w:eastAsia="Arial" w:hAnsi="Arial"/>
                <w:sz w:val="22"/>
                <w:szCs w:val="22"/>
              </w:rPr>
              <w:t xml:space="preserve">Position is everything – and this surprises a lot of patients. The sacroiliac joints are complex structures that overlap with other pelvic bones at certain angles. If I don’t position you precisely, the joint space I need to visualize is obscured, and the radiologist can’t see the subtle sclerosis or erosion that indicates early ankylosing spondylitis. On some views, a misalignment of even a few degrees significantly reduces diagnostic quality. Technically excellent positioning is what makes a technically excellent image, and technically excellent images are what make accurate diagnoses.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[To Dr. Park, Radiologist] What did you find on Jordan’s images, and how did you know?</w:t>
            </w:r>
          </w:p>
          <w:p>
            <w:pPr>
              <w:spacing w:after="180"/>
            </w:pPr>
            <w:r>
              <w:rPr>
                <w:rFonts w:ascii="Arial" w:cs="Arial" w:eastAsia="Arial" w:hAnsi="Arial"/>
                <w:sz w:val="22"/>
                <w:szCs w:val="22"/>
              </w:rPr>
              <w:t xml:space="preserve">On the X-rays, I identified bilateral SI joint sclerosis – a subtle but definite whitening on both sides of the sacroiliac joint margins that indicates chronic stress response to inflammation. On the MRI, I used STIR sequences – which suppress fat signal and make bone marrow edema light up brightly – and identified bilateral bone marrow edema at the SI joint margins. That finding on MRI is the radiologic hallmark of active inflammatory sacroiliitis and actually predates the X-ray changes by years. Together, these two findings told your rheumatologist that this is early but genuine ankylosing spondylitis – not nonspecific low back pain.</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[To Dr. Park] Do you ever see patients directly?</w:t>
            </w:r>
          </w:p>
          <w:p>
            <w:pPr>
              <w:spacing w:after="180"/>
            </w:pPr>
            <w:r>
              <w:rPr>
                <w:rFonts w:ascii="Arial" w:cs="Arial" w:eastAsia="Arial" w:hAnsi="Arial"/>
                <w:sz w:val="22"/>
                <w:szCs w:val="22"/>
              </w:rPr>
              <w:t xml:space="preserve">Rarely – and that’s actually one of the things I found appealing about radiology. I’m a physician – I went to medical school, did a four-year diagnostic radiology residency, and then a fellowship in musculoskeletal radiology – but my primary interaction with patients is through their imaging. I occasionally do consultations when a referring physician has questions about a complex finding, and I perform image-guided procedures where I’m in the room with patients. But mostly, my work is perceptual and analytical – sitting at a high-resolution workstation, reading studies, and writing reports that guide clinical decisions. I see 60–80 studies on a busy day, spanning every organ system, every disease category. The breadth of what I see is extraordinary.</w:t>
            </w:r>
          </w:p>
        </w:tc>
      </w:tr>
    </w:tbl>
    <w:p>
      <w:pPr>
        <w:spacing w:after="80"/>
      </w:pPr>
      <w:r>
        <w:t xml:space="preserve"/>
      </w:r>
    </w:p>
    <w:p>
      <w:pPr>
        <w:pStyle w:val="Heading2"/>
        <w:spacing w:before="360" w:after="180"/>
      </w:pPr>
      <w:r>
        <w:rPr>
          <w:rFonts w:ascii="Arial" w:cs="Arial" w:eastAsia="Arial" w:hAnsi="Arial"/>
          <w:b/>
          <w:bCs/>
          <w:color w:val="2E75B6"/>
          <w:sz w:val="28"/>
          <w:szCs w:val="28"/>
        </w:rPr>
        <w:t xml:space="preserve">Pharmacy Technician – Prior Authorization Navigation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Maya, a pharmacy technician, calls Jordan to help him navigate the prior authorization process for his new biologic prescription.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Why do I need prior authorization? My doctor already prescribed this.</w:t>
            </w:r>
          </w:p>
          <w:p>
            <w:pPr>
              <w:spacing w:after="180"/>
            </w:pPr>
            <w:r>
              <w:rPr>
                <w:rFonts w:ascii="Arial" w:cs="Arial" w:eastAsia="Arial" w:hAnsi="Arial"/>
                <w:sz w:val="22"/>
                <w:szCs w:val="22"/>
              </w:rPr>
              <w:t xml:space="preserve">I completely understand the frustration – it’s one of the most common questions we get. Prior authorization, or prior auth, is a requirement from your insurance company that the prescribing doctor demonstrate medical necessity before they’ll cover the medication. For expensive specialty drugs like biologics – which can cost tens of thousands of dollars per year – insurance companies require documentation showing that you meet specific clinical criteria. Typically that means: you have a confirmed diagnosis (ankylosing spondylitis, in your case), you’ve tried and failed at least one first-line treatment (NSAIDs), and your disease severity meets their threshold. Your rheumatologist’s office sends clinical notes and lab results to support the request. My job is to chase all of that down, submit it correctly, and follow up until we get a decision.</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do you do all day as a pharmacy technician?</w:t>
            </w:r>
          </w:p>
          <w:p>
            <w:pPr>
              <w:spacing w:after="180"/>
            </w:pPr>
            <w:r>
              <w:rPr>
                <w:rFonts w:ascii="Arial" w:cs="Arial" w:eastAsia="Arial" w:hAnsi="Arial"/>
                <w:sz w:val="22"/>
                <w:szCs w:val="22"/>
              </w:rPr>
              <w:t xml:space="preserve">In a specialty pharmacy like ours, I spend a significant portion of my day on prior authorizations – calling insurance companies, getting clinical documentation from physician offices, following up on denials, submitting appeals. I also do patient outreach: calling patients when their medications are ready, checking in on how they’re tolerating new therapies, and flagging concerns to the pharmacist. I verify patient insurance, process claims, and sometimes catch billing errors that would have cost patients money. In a hospital or retail pharmacy, the work shifts more toward filling prescriptions, managing inventory, and assisting customers at the counter. The common thread is that we’re the operational engine that makes the pharmacy run – the pharmacist couldn’t function without us.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if my insurance denies the prior auth?</w:t>
            </w:r>
          </w:p>
          <w:p>
            <w:pPr>
              <w:spacing w:after="180"/>
            </w:pPr>
            <w:r>
              <w:rPr>
                <w:rFonts w:ascii="Arial" w:cs="Arial" w:eastAsia="Arial" w:hAnsi="Arial"/>
                <w:sz w:val="22"/>
                <w:szCs w:val="22"/>
              </w:rPr>
              <w:t xml:space="preserve">A denial isn’t the end of the road – not even close. My first step is to review exactly why they denied it. Denials are often for technical reasons: missing documentation, wrong diagnostic code, incomplete step therapy documentation. Many of those we can fix and resubmit within days. If it’s a true clinical denial, we initiate a formal appeal, which involves your rheumatologist writing a letter of medical necessity. If that appeal fails, we have peer-to-peer review, where your doctor speaks directly with the insurance company’s medical director. As a last resort, there are manufacturer patient assistance programs – most biologic manufacturers have robust programs that provide free or deeply discounted medication to patients who can’t access it through insurance. My job is to keep working every available option until you get the medication you need.</w:t>
            </w:r>
          </w:p>
        </w:tc>
      </w:tr>
    </w:tbl>
    <w:p>
      <w:pPr>
        <w:spacing w:after="80"/>
      </w:pPr>
      <w:r>
        <w:t xml:space="preserve"/>
      </w:r>
    </w:p>
    <w:p>
      <w:pPr>
        <w:pStyle w:val="Heading2"/>
        <w:spacing w:before="360" w:after="180"/>
      </w:pPr>
      <w:r>
        <w:rPr>
          <w:rFonts w:ascii="Arial" w:cs="Arial" w:eastAsia="Arial" w:hAnsi="Arial"/>
          <w:b/>
          <w:bCs/>
          <w:color w:val="2E75B6"/>
          <w:sz w:val="28"/>
          <w:szCs w:val="28"/>
        </w:rPr>
        <w:t xml:space="preserve">Medical Lab Scientist (MLS) – What the HLA-B27 Test Actually 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Priya, an MLS at the reference laboratory, explains how Jordan’s HLA-B27 test was performed.</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do you actually test for HLA-B27? Is it a blood test like a basic panel?</w:t>
            </w:r>
          </w:p>
          <w:p>
            <w:pPr>
              <w:spacing w:after="180"/>
            </w:pPr>
            <w:r>
              <w:rPr>
                <w:rFonts w:ascii="Arial" w:cs="Arial" w:eastAsia="Arial" w:hAnsi="Arial"/>
                <w:sz w:val="22"/>
                <w:szCs w:val="22"/>
              </w:rPr>
              <w:t xml:space="preserve">It’s a blood test in the sense that we start with a blood sample – but the technology behind it is completely different from a basic metabolic panel. We use one of two methods. The most common in high-volume labs is flow cytometry: we take white blood cells from Jordan’s blood, label them with a fluorescent antibody that specifically binds to the B27 protein on the cell surface, and then run them through a laser beam that counts tens of thousands of cells in seconds, reporting what percentage are B27 positive. The other method is molecular – PCR-based – where we actually sequence or probe the HLA gene directly from Jordan’s DNA. Both are highly accurate, but molecular testing is more specific for distinguishing between different HLA-B27 subtypes, which matters in research and in some clinical contexts.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What’s the difference between a Medical Lab Scientist and a Lab Technician?</w:t>
            </w:r>
          </w:p>
          <w:p>
            <w:pPr>
              <w:spacing w:after="180"/>
            </w:pPr>
            <w:r>
              <w:rPr>
                <w:rFonts w:ascii="Arial" w:cs="Arial" w:eastAsia="Arial" w:hAnsi="Arial"/>
                <w:sz w:val="22"/>
                <w:szCs w:val="22"/>
              </w:rPr>
              <w:t xml:space="preserve">Education and complexity of testing, primarily. I have a four-year bachelor’s degree in Medical Laboratory Science, a clinical rotation year where I trained in a hospital lab, and then passed the ASCP board certification exam – that’s my MLS(ASCP) credential. I can perform all categories of testing: hematology, chemistry, immunology, microbiology, blood bank, and molecular diagnostics. I can also troubleshoot instrument failures, validate new tests, develop laboratory procedures, and supervise laboratory technicians. An MLT – Medical Laboratory Technician – typically has a two-year associate degree and performs routine testing under our supervision. Both are essential.</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does your work affect patient care if patients never see you?</w:t>
            </w:r>
          </w:p>
          <w:p>
            <w:pPr>
              <w:spacing w:after="180"/>
            </w:pPr>
            <w:r>
              <w:rPr>
                <w:rFonts w:ascii="Arial" w:cs="Arial" w:eastAsia="Arial" w:hAnsi="Arial"/>
                <w:sz w:val="22"/>
                <w:szCs w:val="22"/>
              </w:rPr>
              <w:t xml:space="preserve">That question gets at something I think about a lot. Seventy percent of medical decisions are influenced by laboratory data. When Jordan’s HLA-B27 came back positive, it changed his diagnostic workup, his referrals, his treatment, and the trajectory of the next 20 years of his medical care. I never met Jordan. He never met me. But my work – the accuracy of that test result, the quality of my laboratory’s analytical system – was central to everything that followed. There’s a real satisfaction in that invisibility. The results I generate have to be right, because clinicians and patients trust them absolutely without knowing how they were produced.</w:t>
            </w:r>
          </w:p>
        </w:tc>
      </w:tr>
    </w:tbl>
    <w:p>
      <w:pPr>
        <w:spacing w:after="80"/>
      </w:pPr>
      <w:r>
        <w:t xml:space="preserve"/>
      </w:r>
    </w:p>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Compare Your Shadows: Tier One</w:t>
      </w:r>
    </w:p>
    <w:p>
      <w:pPr>
        <w:spacing w:after="180"/>
      </w:pPr>
      <w:r>
        <w:rPr>
          <w:rFonts w:ascii="Arial" w:cs="Arial" w:eastAsia="Arial" w:hAnsi="Arial"/>
          <w:sz w:val="22"/>
          <w:szCs w:val="22"/>
        </w:rPr>
        <w:t xml:space="preserve">Students who complete more than one Tier One track unlock this panel. Two tables are shown: the first captures the four providers Jordan encountered on the day of his initial presentation; the second captures the specialists and inpatient team he worked with as his diagnosis and care evolved.</w:t>
      </w:r>
    </w:p>
    <w:p>
      <w:pPr>
        <w:spacing w:after="80"/>
      </w:pPr>
      <w:r>
        <w:t xml:space="preserve"/>
      </w:r>
    </w:p>
    <w:p>
      <w:pPr>
        <w:pStyle w:val="Heading2"/>
        <w:spacing w:before="360" w:after="180"/>
      </w:pPr>
      <w:r>
        <w:rPr>
          <w:rFonts w:ascii="Arial" w:cs="Arial" w:eastAsia="Arial" w:hAnsi="Arial"/>
          <w:b/>
          <w:bCs/>
          <w:color w:val="2E75B6"/>
          <w:sz w:val="28"/>
          <w:szCs w:val="28"/>
        </w:rPr>
        <w:t xml:space="preserve">Day of Presentation: First Encounter Providers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1915"/>
        <w:gridCol w:w="1915"/>
        <w:gridCol w:w="1915"/>
        <w:gridCol w:w="1915"/>
      </w:tblGrid>
      <w:tr>
        <w:tc>
          <w:tcPr>
            <w:tcW w:type="dxa" w:w="1700"/>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
            </w:r>
          </w:p>
        </w:tc>
        <w:tc>
          <w:tcPr>
            <w:tcW w:type="dxa" w:w="1915"/>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EMT (Devon)</w:t>
            </w:r>
          </w:p>
        </w:tc>
        <w:tc>
          <w:tcPr>
            <w:tcW w:type="dxa" w:w="1915"/>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Medical Assistant (Diego)</w:t>
            </w:r>
          </w:p>
        </w:tc>
        <w:tc>
          <w:tcPr>
            <w:tcW w:type="dxa" w:w="1915"/>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Family Doctor (Dr. Patel)</w:t>
            </w:r>
          </w:p>
        </w:tc>
        <w:tc>
          <w:tcPr>
            <w:tcW w:type="dxa" w:w="1915"/>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Pharmacist (Raj)</w:t>
            </w:r>
          </w:p>
        </w:tc>
      </w:tr>
      <w:tr>
        <w:tc>
          <w:tcPr>
            <w:tcW w:type="dxa" w:w="1700"/>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Moment in Jordan’s care</w:t>
            </w:r>
          </w:p>
        </w:tc>
        <w:tc>
          <w:tcPr>
            <w:tcW w:type="dxa" w:w="1915"/>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Scene size-up: environment, posture, Visine bottle, no trauma</w:t>
            </w:r>
          </w:p>
        </w:tc>
        <w:tc>
          <w:tcPr>
            <w:tcW w:type="dxa" w:w="1915"/>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Rooming observation: squinting at lights, dims the room before asking anything</w:t>
            </w:r>
          </w:p>
        </w:tc>
        <w:tc>
          <w:tcPr>
            <w:tcW w:type="dxa" w:w="1915"/>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Clinical pattern recognition: ciliary flush vs. diffuse redness before touching the patient</w:t>
            </w:r>
          </w:p>
        </w:tc>
        <w:tc>
          <w:tcPr>
            <w:tcW w:type="dxa" w:w="1915"/>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Pharmacological assessment: product appropriateness, symptom pattern mismatch with OTC indication</w:t>
            </w:r>
          </w:p>
        </w:tc>
      </w:tr>
      <w:tr>
        <w:tc>
          <w:tcPr>
            <w:tcW w:type="dxa" w:w="1700"/>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The back pain</w:t>
            </w:r>
          </w:p>
        </w:tc>
        <w:tc>
          <w:tcPr>
            <w:tcW w:type="dxa" w:w="1915"/>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Not elicited – outside EMT scope in this encounter</w:t>
            </w:r>
          </w:p>
        </w:tc>
        <w:tc>
          <w:tcPr>
            <w:tcW w:type="dxa" w:w="1915"/>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Surfaced by Diego’s targeted ROS question; added to chart</w:t>
            </w:r>
          </w:p>
        </w:tc>
        <w:tc>
          <w:tcPr>
            <w:tcW w:type="dxa" w:w="1915"/>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Systematically explored with follow-up questions; becomes central to the diagnosis</w:t>
            </w:r>
          </w:p>
        </w:tc>
        <w:tc>
          <w:tcPr>
            <w:tcW w:type="dxa" w:w="1915"/>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Not elicited – outside scope in a counter interaction</w:t>
            </w:r>
          </w:p>
        </w:tc>
      </w:tr>
      <w:tr>
        <w:tc>
          <w:tcPr>
            <w:tcW w:type="dxa" w:w="1700"/>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Key decision made</w:t>
            </w:r>
          </w:p>
        </w:tc>
        <w:tc>
          <w:tcPr>
            <w:tcW w:type="dxa" w:w="1915"/>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Transport vs. refer: refer urgently, document formally</w:t>
            </w:r>
          </w:p>
        </w:tc>
        <w:tc>
          <w:tcPr>
            <w:tcW w:type="dxa" w:w="1915"/>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How much history to take beyond vitals: enough to help the clinician, not so much as to overstep</w:t>
            </w:r>
          </w:p>
        </w:tc>
        <w:tc>
          <w:tcPr>
            <w:tcW w:type="dxa" w:w="1915"/>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What labs to order and who to refer to: broad thinking yields targeted workup</w:t>
            </w:r>
          </w:p>
        </w:tc>
        <w:tc>
          <w:tcPr>
            <w:tcW w:type="dxa" w:w="1915"/>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Whether to complete the sale: clinical judgment overrides transaction</w:t>
            </w:r>
          </w:p>
        </w:tc>
      </w:tr>
      <w:tr>
        <w:tc>
          <w:tcPr>
            <w:tcW w:type="dxa" w:w="1700"/>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Time with Jordan</w:t>
            </w:r>
          </w:p>
        </w:tc>
        <w:tc>
          <w:tcPr>
            <w:tcW w:type="dxa" w:w="1915"/>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12 minutes</w:t>
            </w:r>
          </w:p>
        </w:tc>
        <w:tc>
          <w:tcPr>
            <w:tcW w:type="dxa" w:w="1915"/>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18 minutes</w:t>
            </w:r>
          </w:p>
        </w:tc>
        <w:tc>
          <w:tcPr>
            <w:tcW w:type="dxa" w:w="1915"/>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22 minutes</w:t>
            </w:r>
          </w:p>
        </w:tc>
        <w:tc>
          <w:tcPr>
            <w:tcW w:type="dxa" w:w="1915"/>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2 minutes</w:t>
            </w:r>
          </w:p>
        </w:tc>
      </w:tr>
      <w:tr>
        <w:tc>
          <w:tcPr>
            <w:tcW w:type="dxa" w:w="1700"/>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What Jordan could not have gotten from this person alone</w:t>
            </w:r>
          </w:p>
        </w:tc>
        <w:tc>
          <w:tcPr>
            <w:tcW w:type="dxa" w:w="1915"/>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A diagnosis, prescription, or test. But he got a triage decision that kept him from a dangerous delay.</w:t>
            </w:r>
          </w:p>
        </w:tc>
        <w:tc>
          <w:tcPr>
            <w:tcW w:type="dxa" w:w="1915"/>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A diagnosis or referral. But he got a complete chart that made the clinician’s job sharper.</w:t>
            </w:r>
          </w:p>
        </w:tc>
        <w:tc>
          <w:tcPr>
            <w:tcW w:type="dxa" w:w="1915"/>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Eye surgery or long-term management. But he got a diagnosis, a workup, and a roadmap.</w:t>
            </w:r>
          </w:p>
        </w:tc>
        <w:tc>
          <w:tcPr>
            <w:tcW w:type="dxa" w:w="1915"/>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A diagnosis or referral. But he got redirected away from a product that would have masked his symptoms.</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Specialists and Inpatient Care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2553"/>
        <w:gridCol w:w="2553"/>
        <w:gridCol w:w="2554"/>
      </w:tblGrid>
      <w:tr>
        <w:tc>
          <w:tcPr>
            <w:tcW w:type="dxa" w:w="1700"/>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
            </w:r>
          </w:p>
        </w:tc>
        <w:tc>
          <w:tcPr>
            <w:tcW w:type="dxa" w:w="2553"/>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Ophthalmologist (Dr. Osei)</w:t>
            </w:r>
          </w:p>
        </w:tc>
        <w:tc>
          <w:tcPr>
            <w:tcW w:type="dxa" w:w="2553"/>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Rheumatologist (Dr. Nakamura)</w:t>
            </w:r>
          </w:p>
        </w:tc>
        <w:tc>
          <w:tcPr>
            <w:tcW w:type="dxa" w:w="2554"/>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Hospitalist (Dr. Kim)</w:t>
            </w:r>
          </w:p>
        </w:tc>
      </w:tr>
      <w:tr>
        <w:tc>
          <w:tcPr>
            <w:tcW w:type="dxa" w:w="1700"/>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Moment in Jordan’s care</w:t>
            </w:r>
          </w:p>
        </w:tc>
        <w:tc>
          <w:tcPr>
            <w:tcW w:type="dxa" w:w="2553"/>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Slit lamp assessment: cells and flare in the anterior chamber, graded with SUN criteria</w:t>
            </w:r>
          </w:p>
        </w:tc>
        <w:tc>
          <w:tcPr>
            <w:tcW w:type="dxa" w:w="2553"/>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Chart synthesis before the encounter: HLA-B27, MRI, inflammatory markers already forming a diagnosis</w:t>
            </w:r>
          </w:p>
        </w:tc>
        <w:tc>
          <w:tcPr>
            <w:tcW w:type="dxa" w:w="2554"/>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Admission assessment: febrile, unable to walk, immunosuppressed – rule out septic arthritis before treating</w:t>
            </w:r>
          </w:p>
        </w:tc>
      </w:tr>
      <w:tr>
        <w:tc>
          <w:tcPr>
            <w:tcW w:type="dxa" w:w="1700"/>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The back pain</w:t>
            </w:r>
          </w:p>
        </w:tc>
        <w:tc>
          <w:tcPr>
            <w:tcW w:type="dxa" w:w="2553"/>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Present in the referral note; informs Dr. Osei’s letter to rheumatology</w:t>
            </w:r>
          </w:p>
        </w:tc>
        <w:tc>
          <w:tcPr>
            <w:tcW w:type="dxa" w:w="2553"/>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Central to the diagnosis of axial spondyloarthritis; examined with Schober, FABER, FADIR</w:t>
            </w:r>
          </w:p>
        </w:tc>
        <w:tc>
          <w:tcPr>
            <w:tcW w:type="dxa" w:w="2554"/>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Documented as established diagnosis; contextualized against the acute flare presentation</w:t>
            </w:r>
          </w:p>
        </w:tc>
      </w:tr>
      <w:tr>
        <w:tc>
          <w:tcPr>
            <w:tcW w:type="dxa" w:w="1700"/>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Key decision made</w:t>
            </w:r>
          </w:p>
        </w:tc>
        <w:tc>
          <w:tcPr>
            <w:tcW w:type="dxa" w:w="2553"/>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Topical treatment intensity and follow-up interval; advocate to rheumatology for systemic inflammation control</w:t>
            </w:r>
          </w:p>
        </w:tc>
        <w:tc>
          <w:tcPr>
            <w:tcW w:type="dxa" w:w="2553"/>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When to start a biologic: early treatment in a young patient outweighs risks of delayed treatment</w:t>
            </w:r>
          </w:p>
        </w:tc>
        <w:tc>
          <w:tcPr>
            <w:tcW w:type="dxa" w:w="2554"/>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Rule out septic arthritis before treating for flare: aspiration first, steroids second, clear pivot protocol</w:t>
            </w:r>
          </w:p>
        </w:tc>
      </w:tr>
      <w:tr>
        <w:tc>
          <w:tcPr>
            <w:tcW w:type="dxa" w:w="1700"/>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Time with Jordan</w:t>
            </w:r>
          </w:p>
        </w:tc>
        <w:tc>
          <w:tcPr>
            <w:tcW w:type="dxa" w:w="2553"/>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15 minutes</w:t>
            </w:r>
          </w:p>
        </w:tc>
        <w:tc>
          <w:tcPr>
            <w:tcW w:type="dxa" w:w="2553"/>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45 minutes</w:t>
            </w:r>
          </w:p>
        </w:tc>
        <w:tc>
          <w:tcPr>
            <w:tcW w:type="dxa" w:w="2554"/>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4-day admission</w:t>
            </w:r>
          </w:p>
        </w:tc>
      </w:tr>
      <w:tr>
        <w:tc>
          <w:tcPr>
            <w:tcW w:type="dxa" w:w="1700"/>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What Jordan could not have gotten from this person alone</w:t>
            </w:r>
          </w:p>
        </w:tc>
        <w:tc>
          <w:tcPr>
            <w:tcW w:type="dxa" w:w="2553"/>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Slit lamp exam, uveitis grading, dilating drops to prevent synechiae. No other clinician has this tool.</w:t>
            </w:r>
          </w:p>
        </w:tc>
        <w:tc>
          <w:tcPr>
            <w:tcW w:type="dxa" w:w="2553"/>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A systemic diagnosis, a biologic prescription, and a longitudinal care plan connecting every organ system involved.</w:t>
            </w:r>
          </w:p>
        </w:tc>
        <w:tc>
          <w:tcPr>
            <w:tcW w:type="dxa" w:w="2554"/>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Inpatient management of a diagnostic emergency, multi-team coordination, and safe discharge with a complete handoff.</w:t>
            </w:r>
          </w:p>
        </w:tc>
      </w:tr>
    </w:tbl>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Reflection Prompts for Students</w:t>
      </w:r>
    </w:p>
    <w:p>
      <w:pPr>
        <w:spacing w:after="180"/>
      </w:pPr>
      <w:r>
        <w:rPr>
          <w:rFonts w:ascii="Arial" w:cs="Arial" w:eastAsia="Arial" w:hAnsi="Arial"/>
          <w:sz w:val="22"/>
          <w:szCs w:val="22"/>
        </w:rPr>
        <w:t xml:space="preserve">These prompts can be used to structure the in-person mentor session that follows. Prompts in the first section apply across all fourteen tracks. The second section focuses specifically on Tier Two.</w:t>
      </w:r>
    </w:p>
    <w:p>
      <w:pPr>
        <w:spacing w:after="80"/>
      </w:pPr>
      <w:r>
        <w:t xml:space="preserve"/>
      </w:r>
    </w:p>
    <w:p>
      <w:pPr>
        <w:pStyle w:val="Heading2"/>
        <w:spacing w:before="360" w:after="180"/>
      </w:pPr>
      <w:r>
        <w:rPr>
          <w:rFonts w:ascii="Arial" w:cs="Arial" w:eastAsia="Arial" w:hAnsi="Arial"/>
          <w:b/>
          <w:bCs/>
          <w:color w:val="2E75B6"/>
          <w:sz w:val="28"/>
          <w:szCs w:val="28"/>
        </w:rPr>
        <w:t xml:space="preserve">Across All Tracks</w:t>
      </w:r>
    </w:p>
    <w:p>
      <w:pPr>
        <w:pStyle w:val="ListParagraph"/>
        <w:numPr>
          <w:ilvl w:val="0"/>
          <w:numId w:val="2"/>
        </w:numPr>
        <w:spacing w:after="140"/>
      </w:pPr>
      <w:r>
        <w:rPr>
          <w:rFonts w:ascii="Arial" w:cs="Arial" w:eastAsia="Arial" w:hAnsi="Arial"/>
          <w:sz w:val="22"/>
          <w:szCs w:val="22"/>
        </w:rPr>
        <w:t xml:space="preserve">Which clinician’s encounter did you find most surprising? What did you expect versus what you saw?</w:t>
      </w:r>
    </w:p>
    <w:p>
      <w:pPr>
        <w:pStyle w:val="ListParagraph"/>
        <w:numPr>
          <w:ilvl w:val="0"/>
          <w:numId w:val="2"/>
        </w:numPr>
        <w:spacing w:after="140"/>
      </w:pPr>
      <w:r>
        <w:rPr>
          <w:rFonts w:ascii="Arial" w:cs="Arial" w:eastAsia="Arial" w:hAnsi="Arial"/>
          <w:sz w:val="22"/>
          <w:szCs w:val="22"/>
        </w:rPr>
        <w:t xml:space="preserve">Each clinician spent different amounts of time with Jordan. Does more time mean more impact? Use the comparison panels to make your case.</w:t>
      </w:r>
    </w:p>
    <w:p>
      <w:pPr>
        <w:pStyle w:val="ListParagraph"/>
        <w:numPr>
          <w:ilvl w:val="0"/>
          <w:numId w:val="2"/>
        </w:numPr>
        <w:spacing w:after="140"/>
      </w:pPr>
      <w:r>
        <w:rPr>
          <w:rFonts w:ascii="Arial" w:cs="Arial" w:eastAsia="Arial" w:hAnsi="Arial"/>
          <w:sz w:val="22"/>
          <w:szCs w:val="22"/>
        </w:rPr>
        <w:t xml:space="preserve">Raj’s interaction lasted two minutes. Diego’s lasted eighteen. Dr. Patel’s lasted twenty-two. Devon’s lasted twelve. Yet all four contributed something Jordan could not have gotten anywhere else. What does that tell you about how healthcare actually works?</w:t>
      </w:r>
    </w:p>
    <w:p>
      <w:pPr>
        <w:pStyle w:val="ListParagraph"/>
        <w:numPr>
          <w:ilvl w:val="0"/>
          <w:numId w:val="2"/>
        </w:numPr>
        <w:spacing w:after="140"/>
      </w:pPr>
      <w:r>
        <w:rPr>
          <w:rFonts w:ascii="Arial" w:cs="Arial" w:eastAsia="Arial" w:hAnsi="Arial"/>
          <w:sz w:val="22"/>
          <w:szCs w:val="22"/>
        </w:rPr>
        <w:t xml:space="preserve">Which clinician’s way of thinking appeals to you most? Not just their job title – the actual way they approached Jordan, the questions they asked, the decisions they made.</w:t>
      </w:r>
    </w:p>
    <w:p>
      <w:pPr>
        <w:pStyle w:val="ListParagraph"/>
        <w:numPr>
          <w:ilvl w:val="0"/>
          <w:numId w:val="2"/>
        </w:numPr>
        <w:spacing w:after="140"/>
      </w:pPr>
      <w:r>
        <w:rPr>
          <w:rFonts w:ascii="Arial" w:cs="Arial" w:eastAsia="Arial" w:hAnsi="Arial"/>
          <w:sz w:val="22"/>
          <w:szCs w:val="22"/>
        </w:rPr>
        <w:t xml:space="preserve">If you could shadow one of these providers for a full day – not just one encounter – which would you choose and why?</w:t>
      </w:r>
    </w:p>
    <w:p>
      <w:pPr>
        <w:pStyle w:val="ListParagraph"/>
        <w:numPr>
          <w:ilvl w:val="0"/>
          <w:numId w:val="2"/>
        </w:numPr>
        <w:spacing w:after="140"/>
      </w:pPr>
      <w:r>
        <w:rPr>
          <w:rFonts w:ascii="Arial" w:cs="Arial" w:eastAsia="Arial" w:hAnsi="Arial"/>
          <w:sz w:val="22"/>
          <w:szCs w:val="22"/>
        </w:rPr>
        <w:t xml:space="preserve">Jordan’s care involved fourteen different professionals in the shadow tracks alone, and at least ten more in his extended care team. Most of them never met each other. What has to be true about a healthcare system for all of that to work together?</w:t>
      </w:r>
    </w:p>
    <w:p>
      <w:pPr>
        <w:spacing w:after="80"/>
      </w:pPr>
      <w:r>
        <w:t xml:space="preserve"/>
      </w:r>
    </w:p>
    <w:p>
      <w:pPr>
        <w:pStyle w:val="Heading2"/>
        <w:spacing w:before="360" w:after="180"/>
      </w:pPr>
      <w:r>
        <w:rPr>
          <w:rFonts w:ascii="Arial" w:cs="Arial" w:eastAsia="Arial" w:hAnsi="Arial"/>
          <w:b/>
          <w:bCs/>
          <w:color w:val="2E75B6"/>
          <w:sz w:val="28"/>
          <w:szCs w:val="28"/>
        </w:rPr>
        <w:t xml:space="preserve">Tier Two Tracks</w:t>
      </w:r>
    </w:p>
    <w:p>
      <w:pPr>
        <w:pStyle w:val="ListParagraph"/>
        <w:numPr>
          <w:ilvl w:val="0"/>
          <w:numId w:val="2"/>
        </w:numPr>
        <w:spacing w:after="140"/>
      </w:pPr>
      <w:r>
        <w:rPr>
          <w:rFonts w:ascii="Arial" w:cs="Arial" w:eastAsia="Arial" w:hAnsi="Arial"/>
          <w:sz w:val="22"/>
          <w:szCs w:val="22"/>
        </w:rPr>
        <w:t xml:space="preserve">None of the Tier Two providers had a two-minute conversation with Jordan the way Raj did. Most of them never met Jordan at all. Does that make their contributions more or less significant? How do you measure impact when you can’t measure it in conversations?</w:t>
      </w:r>
    </w:p>
    <w:p>
      <w:pPr>
        <w:pStyle w:val="ListParagraph"/>
        <w:numPr>
          <w:ilvl w:val="0"/>
          <w:numId w:val="2"/>
        </w:numPr>
        <w:spacing w:after="140"/>
      </w:pPr>
      <w:r>
        <w:rPr>
          <w:rFonts w:ascii="Arial" w:cs="Arial" w:eastAsia="Arial" w:hAnsi="Arial"/>
          <w:sz w:val="22"/>
          <w:szCs w:val="22"/>
        </w:rPr>
        <w:t xml:space="preserve">The health informatics specialist, the public health administrator, and the health care manager all responded to patterns in data – not individual patients. What is gained when you zoom out to that level? What is lost?</w:t>
      </w:r>
    </w:p>
    <w:p>
      <w:pPr>
        <w:pStyle w:val="ListParagraph"/>
        <w:numPr>
          <w:ilvl w:val="0"/>
          <w:numId w:val="2"/>
        </w:numPr>
        <w:spacing w:after="140"/>
      </w:pPr>
      <w:r>
        <w:rPr>
          <w:rFonts w:ascii="Arial" w:cs="Arial" w:eastAsia="Arial" w:hAnsi="Arial"/>
          <w:sz w:val="22"/>
          <w:szCs w:val="22"/>
        </w:rPr>
        <w:t xml:space="preserve">The biotech researcher and the clinical pharmacologist both needed deep scientific training to do their jobs. But their work looks completely different. What is the difference between working in science to produce knowledge and working in science to change clinical practice?</w:t>
      </w:r>
    </w:p>
    <w:p>
      <w:pPr>
        <w:pStyle w:val="ListParagraph"/>
        <w:numPr>
          <w:ilvl w:val="0"/>
          <w:numId w:val="2"/>
        </w:numPr>
        <w:spacing w:after="140"/>
      </w:pPr>
      <w:r>
        <w:rPr>
          <w:rFonts w:ascii="Arial" w:cs="Arial" w:eastAsia="Arial" w:hAnsi="Arial"/>
          <w:sz w:val="22"/>
          <w:szCs w:val="22"/>
        </w:rPr>
        <w:t xml:space="preserve">The medical writer’s job is to make science legible to patients. The health policy analyst’s job is to make clinical evidence legible to decision-makers. Are those the same skill in different contexts, or fundamentally different disciplines?</w:t>
      </w:r>
    </w:p>
    <w:p>
      <w:pPr>
        <w:pStyle w:val="ListParagraph"/>
        <w:numPr>
          <w:ilvl w:val="0"/>
          <w:numId w:val="2"/>
        </w:numPr>
        <w:spacing w:after="140"/>
      </w:pPr>
      <w:r>
        <w:rPr>
          <w:rFonts w:ascii="Arial" w:cs="Arial" w:eastAsia="Arial" w:hAnsi="Arial"/>
          <w:sz w:val="22"/>
          <w:szCs w:val="22"/>
        </w:rPr>
        <w:t xml:space="preserve">The insurance executive and the BioPharma executive both made decisions that shaped Jordan’s access to medication – from opposite sides of the same transaction. What do those two roles share? Where do their incentives diverge?</w:t>
      </w:r>
    </w:p>
    <w:p>
      <w:pPr>
        <w:pStyle w:val="ListParagraph"/>
        <w:numPr>
          <w:ilvl w:val="0"/>
          <w:numId w:val="2"/>
        </w:numPr>
        <w:spacing w:after="140"/>
      </w:pPr>
      <w:r>
        <w:rPr>
          <w:rFonts w:ascii="Arial" w:cs="Arial" w:eastAsia="Arial" w:hAnsi="Arial"/>
          <w:sz w:val="22"/>
          <w:szCs w:val="22"/>
        </w:rPr>
        <w:t xml:space="preserve">If you completed both Tier One and Tier Two tracks, which clinician’s way of thinking felt most natural to you? Not the job you think you should want – the way of seeing the problem that felt most like the way your mind already works.</w:t>
      </w:r>
    </w:p>
    <w:p>
      <w:pPr>
        <w:spacing w:after="120"/>
      </w:pPr>
      <w:r>
        <w:rPr>
          <w:rFonts w:ascii="Arial" w:cs="Arial" w:eastAsia="Arial" w:hAnsi="Arial"/>
          <w:b/>
          <w:bCs/>
          <w:color w:val="1F3864"/>
          <w:sz w:val="30"/>
          <w:szCs w:val="30"/>
        </w:rPr>
        <w:t xml:space="preserve">Tier Two: Beyond the Bedside</w:t>
      </w:r>
    </w:p>
    <w:p>
      <w:pPr>
        <w:spacing w:after="180"/>
      </w:pPr>
      <w:r>
        <w:rPr>
          <w:rFonts w:ascii="Arial" w:cs="Arial" w:eastAsia="Arial" w:hAnsi="Arial"/>
          <w:sz w:val="22"/>
          <w:szCs w:val="22"/>
        </w:rPr>
        <w:t xml:space="preserve">The seven tracks below place you inside the systems, science, and infrastructure that made Jordan’s care possible. Most of these professionals never met Jordan. Some acted years before his urgent care visit; others acted weeks or months afterward. All of them are essential to what happened – and to what happens to the next patient like him.</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80"/>
            </w:pPr>
            <w:r>
              <w:rPr>
                <w:rFonts w:ascii="Arial" w:cs="Arial" w:eastAsia="Arial" w:hAnsi="Arial"/>
                <w:b/>
                <w:bCs/>
                <w:sz w:val="22"/>
                <w:szCs w:val="22"/>
              </w:rPr>
              <w:t xml:space="preserve">A note on scope</w:t>
            </w:r>
          </w:p>
          <w:p>
            <w:pPr>
              <w:spacing w:after="180"/>
            </w:pPr>
            <w:r>
              <w:rPr>
                <w:rFonts w:ascii="Arial" w:cs="Arial" w:eastAsia="Arial" w:hAnsi="Arial"/>
                <w:sz w:val="22"/>
                <w:szCs w:val="22"/>
              </w:rPr>
              <w:t xml:space="preserve">Tier One tracks show how the same patient encounter looks different depending on who you are. Tier Two tracks show how healthcare looks different depending on where you stand in relation to the patient – not beside them, but upstream of them, downstream of them, above them in the system, or years before and after them in time.</w:t>
            </w:r>
          </w:p>
          <w:p>
            <w:pPr>
              <w:spacing w:after="180"/>
            </w:pPr>
            <w:r>
              <w:rPr>
                <w:rFonts w:ascii="Arial" w:cs="Arial" w:eastAsia="Arial" w:hAnsi="Arial"/>
                <w:sz w:val="22"/>
                <w:szCs w:val="22"/>
              </w:rPr>
              <w:t xml:space="preserve">The comparison that matters in Tier Two is not ‘Whose encounter was most important?’ It is: ‘What kind of thinking most appeals to you? Individual or population? Science or systems? Policy or practice? Now or eventually?’</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8: Health Informatics Specialist</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One week after Jordan’s visit. Location: Stanford Medicine’s Clinical Informatics team office. You are shadowing Maya, a clinical informatics specialist with a master’s degree in biomedical informatics and three years of experience building decision support tools inside Stanford’s Epic EHR system.</w:t>
            </w:r>
          </w:p>
          <w:p>
            <w:pPr>
              <w:spacing w:after="180"/>
            </w:pPr>
            <w:r>
              <w:rPr>
                <w:rFonts w:ascii="Arial" w:cs="Arial" w:eastAsia="Arial" w:hAnsi="Arial"/>
                <w:sz w:val="22"/>
                <w:szCs w:val="22"/>
              </w:rPr>
              <w:t xml:space="preserve">Maya does not know Jordan exists. Her job is to make sure that the next time a patient like Jordan walks into urgent care, the right information surfaces at the right moment.</w:t>
            </w:r>
          </w:p>
        </w:tc>
      </w:tr>
    </w:tbl>
    <w:p>
      <w:pPr>
        <w:spacing w:after="80"/>
      </w:pPr>
      <w:r>
        <w:t xml:space="preserve"/>
      </w:r>
    </w:p>
    <w:p>
      <w:pPr>
        <w:pStyle w:val="Heading3"/>
        <w:spacing w:before="240" w:after="120"/>
      </w:pPr>
      <w:r>
        <w:rPr>
          <w:rFonts w:ascii="Arial" w:cs="Arial" w:eastAsia="Arial" w:hAnsi="Arial"/>
          <w:b/>
          <w:bCs/>
          <w:sz w:val="24"/>
          <w:szCs w:val="24"/>
        </w:rPr>
        <w:t xml:space="preserve">Moment 1: The Data That Started the Project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Maya is reviewing a six-month extract from urgent care: all patients whose chief complaint contained ‘eye’ or ‘vision,’ received a discharge diagnosis of conjunctivitis, and then returned within fourteen days with a different diagnosis. The list has forty-three names.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This is where clinical informatics work begins: the pattern in the data that no individual clinician can see. Dr. Patel saw Jordan. Maya is seeing all forty-three.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Maya needs to understand why these patients were re-diagnosed. What should she do first?</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Assume documentation error and close the report</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Pull a random sample of charts and review clinical notes manually</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Talk to clinicians first to understand what they experience at the bedside, then review charts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Maya does and why:</w:t>
            </w:r>
            <w:r>
              <w:rPr>
                <w:rFonts w:ascii="Arial" w:cs="Arial" w:eastAsia="Arial" w:hAnsi="Arial"/>
                <w:sz w:val="22"/>
                <w:szCs w:val="22"/>
              </w:rPr>
              <w:t xml:space="preserve"> She chooses C, then B. Data without clinical context is just numbers. Before building anything, she sets up a thirty-minute conversation with Dr. Patel and two other urgent care physicians. What she hears: the red eye workup is inconsistent. Some providers routinely check for ciliary flush and photophobia; others do not. The problem is not knowledge. It is workflow.</w:t>
            </w:r>
          </w:p>
        </w:tc>
      </w:tr>
    </w:tbl>
    <w:p>
      <w:pPr>
        <w:spacing w:after="80"/>
      </w:pPr>
      <w:r>
        <w:t xml:space="preserve"/>
      </w:r>
    </w:p>
    <w:p>
      <w:pPr>
        <w:pStyle w:val="Heading3"/>
        <w:spacing w:before="240" w:after="120"/>
      </w:pPr>
      <w:r>
        <w:rPr>
          <w:rFonts w:ascii="Arial" w:cs="Arial" w:eastAsia="Arial" w:hAnsi="Arial"/>
          <w:b/>
          <w:bCs/>
          <w:sz w:val="24"/>
          <w:szCs w:val="24"/>
        </w:rPr>
        <w:t xml:space="preserve">Moment 2: Building the Clinical Decision Support Alert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Maya builds a Best Practice Advisory in Epic – a soft alert that fires inside a clinician’s chart when certain conditions are met. Her trigger: any urgent care encounter where the chief complaint includes ‘eye’ or ‘vision,’ combined with documentation of photophobia or blurred vision. When those conditions are met, the alert surfaces: ‘Consider uveitis or iritis in this presentation. Assess for ciliary flush, pupil irregularity, and systemic symptoms including back pain and GI symptoms.’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Maya needs to decide how sensitive to make her trigger. What should she do for a first version?</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Maximum sensitivity – catch every possible case, even if the alert fires frequently</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High specificity – only fire when the presentation is almost certainly uveitis</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Moderate sensitivity, with override tracking built in so she can refine it over time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Maya does and why:</w:t>
            </w:r>
            <w:r>
              <w:rPr>
                <w:rFonts w:ascii="Arial" w:cs="Arial" w:eastAsia="Arial" w:hAnsi="Arial"/>
                <w:sz w:val="22"/>
                <w:szCs w:val="22"/>
              </w:rPr>
              <w:t xml:space="preserve"> She chooses C. A first version should be good enough to be useful and instrumented enough to be improvable. She builds in an override tracking mechanism: every time a clinician clicks ‘Not applicable,’ that data is captured. In three months she will run a report. If override rates exceed forty percent, the alert is too sensitive and she will tighten the criteria.</w:t>
            </w:r>
          </w:p>
        </w:tc>
      </w:tr>
    </w:tbl>
    <w:p>
      <w:pPr>
        <w:spacing w:after="80"/>
      </w:pPr>
      <w:r>
        <w:t xml:space="preserve"/>
      </w:r>
    </w:p>
    <w:p>
      <w:pPr>
        <w:pStyle w:val="Heading3"/>
        <w:spacing w:before="240" w:after="120"/>
      </w:pPr>
      <w:r>
        <w:rPr>
          <w:rFonts w:ascii="Arial" w:cs="Arial" w:eastAsia="Arial" w:hAnsi="Arial"/>
          <w:b/>
          <w:bCs/>
          <w:sz w:val="24"/>
          <w:szCs w:val="24"/>
        </w:rPr>
        <w:t xml:space="preserve">Moment 3: Jordan’s Case Fires the Alert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Three weeks after Maya’s pilot goes live, a clinician at urgent care is rooming a twenty-year-old with three days of red eye and photophobia. The Best Practice Advisory fires. The clinician adds ciliary flush, pupil assessment, and a review of systemic symptoms to their encounter note. The diagnosis: anterior uveitis. Referral to ophthalmology sent same day. Maya will see this as a data point: BPA fired, diagnosis made, appropriate referral completed.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did you end up in health informatics? It doesn’t sound like a typical healthcare career.</w:t>
            </w:r>
          </w:p>
          <w:p>
            <w:pPr>
              <w:spacing w:after="180"/>
            </w:pPr>
            <w:r>
              <w:rPr>
                <w:rFonts w:ascii="Arial" w:cs="Arial" w:eastAsia="Arial" w:hAnsi="Arial"/>
                <w:sz w:val="22"/>
                <w:szCs w:val="22"/>
              </w:rPr>
              <w:t xml:space="preserve">I had a background in computer science and a strong interest in clinical medicine – but I didn’t want to go to medical school. Health informatics was the field that let me work at the intersection of both. I completed a master’s in biomedical informatics, which combines clinical knowledge, data science, and systems thinking. My day-to-day work is building tools that make clinical care better – things like the alert I just designed, or clinical dashboards that help administrators see quality trends, or data pipelines that feed research studies. I think of my job as: I make it easier for the right thing to happen. I rarely interact with patients directly, but my work affects every patient who walks through this clinic.</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What’s the difference between health informatics and just working in IT at a hospital?</w:t>
            </w:r>
          </w:p>
          <w:p>
            <w:pPr>
              <w:spacing w:after="180"/>
            </w:pPr>
            <w:r>
              <w:rPr>
                <w:rFonts w:ascii="Arial" w:cs="Arial" w:eastAsia="Arial" w:hAnsi="Arial"/>
                <w:sz w:val="22"/>
                <w:szCs w:val="22"/>
              </w:rPr>
              <w:t xml:space="preserve">That’s an important distinction. Hospital IT maintains the infrastructure – servers, networks, device management, security. Health informatics is about the clinical and data side of the systems those IT teams maintain. I’m not fixing computers; I’m designing how clinical information flows, how data is captured, how decision support works, and how data can be used for quality improvement and research. You need to understand both medicine and technology to do what I do – it’s genuinely a hybrid role. My closest collaborators are clinicians on one side and software engineers on the other.</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Health Informatics Specialist</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Bachelor’s degree in a health or technical field, followed by a master’s in biomedical informatics, health informatics, or clinical informatics (typically 1–2 years).</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Health informaticists are the architects of how clinical information flows. Maya built a system that will fire across thousands of encounters for years. Her impact on patient care is real but invisible – measured in aggregate, never in individual conversations.</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drawn to both the clinical and technical worlds, you think in systems rather than individual encounters, and you want your work to scale across thousands of patients through the infrastructure you design.</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9: Biotech Researcher</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Two years before Jordan’s visit. Location: A biotech company laboratory. You are shadowing Dr. Chen, a molecular biologist with a PhD in immunology who is working on a next-generation HLA-B27 diagnostic assay.</w:t>
            </w:r>
          </w:p>
          <w:p>
            <w:pPr>
              <w:spacing w:after="180"/>
            </w:pPr>
            <w:r>
              <w:rPr>
                <w:rFonts w:ascii="Arial" w:cs="Arial" w:eastAsia="Arial" w:hAnsi="Arial"/>
                <w:sz w:val="22"/>
                <w:szCs w:val="22"/>
              </w:rPr>
              <w:t xml:space="preserve">The test that will tell Jordan’s rheumatologist whether he carries the HLA-B27 gene was developed and validated by someone like Dr. Chen.</w:t>
            </w:r>
          </w:p>
        </w:tc>
      </w:tr>
    </w:tbl>
    <w:p>
      <w:pPr>
        <w:spacing w:after="80"/>
      </w:pPr>
      <w:r>
        <w:t xml:space="preserve"/>
      </w:r>
    </w:p>
    <w:p>
      <w:pPr>
        <w:pStyle w:val="Heading3"/>
        <w:spacing w:before="240" w:after="120"/>
      </w:pPr>
      <w:r>
        <w:rPr>
          <w:rFonts w:ascii="Arial" w:cs="Arial" w:eastAsia="Arial" w:hAnsi="Arial"/>
          <w:b/>
          <w:bCs/>
          <w:sz w:val="24"/>
          <w:szCs w:val="24"/>
        </w:rPr>
        <w:t xml:space="preserve">Moment 1: The Clinical Need That Started This Project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Chen is presenting data at a team meeting. She has a slide showing the current state of HLA-B27 testing: most labs use flow cytometry or sequence-specific probe methods, both of which require significant equipment and trained technicians. Turnaround time is typically two to five days. In a patient with suspected acute uveitis, two to five days can determine whether treatment begins before vision damage occurs.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Biotech research begins with an unmet clinical need. Dr. Chen did not invent this problem. Rheumatologists and ophthalmologists told her about it. Her job is to translate that clinical need into a technical solution. The science serves the clinical problem, not the other way around.</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Dr. Chen’s team must choose between two technical approaches. Approach A is faster to develop but misses about eight percent of true positive cases. Approach B is more accurate but requires a specialized reagent that is difficult to manufacture at scale. Which should they pursue?</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Approach A – speed is the priority if patients are waiting for results</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Approach B – diagnostic accuracy must come first</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Run both approaches in parallel for six months and let the validation data decide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Chen does and why:</w:t>
            </w:r>
            <w:r>
              <w:rPr>
                <w:rFonts w:ascii="Arial" w:cs="Arial" w:eastAsia="Arial" w:hAnsi="Arial"/>
                <w:sz w:val="22"/>
                <w:szCs w:val="22"/>
              </w:rPr>
              <w:t xml:space="preserve"> She chooses C. Do not commit to a single approach until you have comparative data. Running both in parallel costs more in the short term but avoids the much larger cost of discovering two years in that you chose the wrong path.</w:t>
            </w:r>
          </w:p>
        </w:tc>
      </w:tr>
    </w:tbl>
    <w:p>
      <w:pPr>
        <w:spacing w:after="80"/>
      </w:pPr>
      <w:r>
        <w:t xml:space="preserve"/>
      </w:r>
    </w:p>
    <w:p>
      <w:pPr>
        <w:pStyle w:val="Heading3"/>
        <w:spacing w:before="240" w:after="120"/>
      </w:pPr>
      <w:r>
        <w:rPr>
          <w:rFonts w:ascii="Arial" w:cs="Arial" w:eastAsia="Arial" w:hAnsi="Arial"/>
          <w:b/>
          <w:bCs/>
          <w:sz w:val="24"/>
          <w:szCs w:val="24"/>
        </w:rPr>
        <w:t xml:space="preserve">Moment 2: Validation and Regulatory Strategy</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Eighteen months later, the team has a working prototype. Dr. Chen is now working with the company’s regulatory affairs team to plan the validation study required before the assay can be submitted to the FDA for clearance as an in vitro diagnostic device.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A biotech product does not go from lab to clinic. It goes from lab to validation study to regulatory submission to FDA review to market clearance to clinical adoption – a process that takes years and involves scientists, regulatory specialists, clinicians, statisticians, and business development professionals at every stage.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The validation study needs a clinical partner. Option one: a large academic medical center with abundant samples but a slow IRB process. Option two: a smaller community hospital with faster approvals but fewer available samples. Which should Dr. Chen’s team choose?</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The academic medical center – sample quality and quantity matter most for regulatory submission</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The community hospital – faster approval means faster to market</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Both sites simultaneously, even if it costs more to run a two-site study</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Chen does and why:</w:t>
            </w:r>
            <w:r>
              <w:rPr>
                <w:rFonts w:ascii="Arial" w:cs="Arial" w:eastAsia="Arial" w:hAnsi="Arial"/>
                <w:sz w:val="22"/>
                <w:szCs w:val="22"/>
              </w:rPr>
              <w:t xml:space="preserve"> She chooses C. A single-site validation is scientifically weaker and may draw scrutiny during FDA review. A two-site study produces more robust data and a more defensible regulatory submission.</w:t>
            </w:r>
          </w:p>
        </w:tc>
      </w:tr>
    </w:tbl>
    <w:p>
      <w:pPr>
        <w:spacing w:after="80"/>
      </w:pPr>
      <w:r>
        <w:t xml:space="preserve"/>
      </w:r>
    </w:p>
    <w:p>
      <w:pPr>
        <w:pStyle w:val="Heading3"/>
        <w:spacing w:before="240" w:after="120"/>
      </w:pPr>
      <w:r>
        <w:rPr>
          <w:rFonts w:ascii="Arial" w:cs="Arial" w:eastAsia="Arial" w:hAnsi="Arial"/>
          <w:b/>
          <w:bCs/>
          <w:sz w:val="24"/>
          <w:szCs w:val="24"/>
        </w:rPr>
        <w:t xml:space="preserve">Moment 3: The Assay Reaches Jordan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Two years later, Jordan’s blood is drawn at Stanford’s clinical lab. A tube runs on an automated analyzer using a chemistry Dr. Chen’s team developed. The result: HLA-B27 positive. Turnaround time: four hours. Dr. Patel has the result before Jordan’s ophthalmology appointment that afternoon. Dr. Chen is in a team meeting on the East Coast reviewing the assay’s first six-month commercial data.</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did scientists even figure out that HLA-B27 was connected to these diseases?</w:t>
            </w:r>
          </w:p>
          <w:p>
            <w:pPr>
              <w:spacing w:after="180"/>
            </w:pPr>
            <w:r>
              <w:rPr>
                <w:rFonts w:ascii="Arial" w:cs="Arial" w:eastAsia="Arial" w:hAnsi="Arial"/>
                <w:sz w:val="22"/>
                <w:szCs w:val="22"/>
              </w:rPr>
              <w:t xml:space="preserve">This is a wonderful story of science. In 1973, two independent groups – Brewerton in England and Schlosstein in California – simultaneously published findings that an unusually high proportion of patients with ankylosing spondylitis carried this specific genetic marker. The connection was stunning: in the general population, about 8% of people carry B27; in AS patients, it was 90%. That’s not a statistical blip – it’s a profound genetic signal. This discovery came from a new technique at the time: tissue typing, developed for organ transplantation. Scientists repurposed it to study rheumatic diseases and accidentally found one of the strongest genetic associations in all of medicine. That’s a theme in research: tools developed for one purpose become instruments of discovery in an entirely different domain.</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Why does HLA-B27 cause uveitis and arthritis? What’s actually happening in the body?</w:t>
            </w:r>
          </w:p>
          <w:p>
            <w:pPr>
              <w:spacing w:after="180"/>
            </w:pPr>
            <w:r>
              <w:rPr>
                <w:rFonts w:ascii="Arial" w:cs="Arial" w:eastAsia="Arial" w:hAnsi="Arial"/>
                <w:sz w:val="22"/>
                <w:szCs w:val="22"/>
              </w:rPr>
              <w:t xml:space="preserve">That’s the question that still drives my laboratory. HLA molecules are proteins that sit on the surface of cells and present fragments of proteins – called peptides – to immune T cells. HLA-B27 is unusual: it folds abnormally in the endoplasmic reticulum, it can form unusual protein structures on the cell surface, and it may present self-peptides in a way that activates cytotoxic T cells incorrectly. One hypothesis – the arthritogenic peptide theory – holds that B27 presents a particular self-peptide that resembles a bacterial peptide, triggering immune activation against self-tissues. Another hypothesis focuses on misfolded B27 causing chronic cellular stress that sustains inflammation. The honest answer is that we don’t fully know yet – and that’s exactly why labs like mine exist.</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does your research actually connect to the medications Jordan is taking?</w:t>
            </w:r>
          </w:p>
          <w:p>
            <w:pPr>
              <w:spacing w:after="180"/>
            </w:pPr>
            <w:r>
              <w:rPr>
                <w:rFonts w:ascii="Arial" w:cs="Arial" w:eastAsia="Arial" w:hAnsi="Arial"/>
                <w:sz w:val="22"/>
                <w:szCs w:val="22"/>
              </w:rPr>
              <w:t xml:space="preserve">That connection is one of the most gratifying parts of this work. The anti-TNF medications that transformed AS outcomes – adalimumab, etanercept, infliximab – came directly from decades of basic research establishing that TNF-alpha was a central cytokine in inflammatory arthritis. Researchers using mouse models and human cell lines showed that blocking TNF reduced joint inflammation. Clinical trials then proved efficacy. That pathway from bench to bedside took about 20 years. Jordan is taking medications that exist because researchers asked basic questions about how immune cells communicate – and spent years in the laboratory finding answers.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kind of training does a research scientist need?</w:t>
            </w:r>
          </w:p>
          <w:p>
            <w:pPr>
              <w:spacing w:after="180"/>
            </w:pPr>
            <w:r>
              <w:rPr>
                <w:rFonts w:ascii="Arial" w:cs="Arial" w:eastAsia="Arial" w:hAnsi="Arial"/>
                <w:sz w:val="22"/>
                <w:szCs w:val="22"/>
              </w:rPr>
              <w:t xml:space="preserve">The core pathway is a PhD in a relevant field: immunology, genetics, cell biology, biochemistry, pharmacology. That’s typically 5–7 years of graduate training where you’re both a student and a scientist – running experiments, failing repeatedly, learning to think critically, writing your dissertation. After the PhD, most research scientists do postdoctoral training for 2–5 years in another laboratory. Then there are faculty positions at universities and research institutes, or industry positions at pharmaceutical and biotech companies. An alternative is the MD-PhD – a physician-scientist training program that produces clinicians who are also independent researchers. It takes about 8 years but allows someone to both treat patients and run a laboratory investigating the very diseases they treat.</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Biotech Researcher</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Bachelor’s degree in biology, chemistry, or related field; typically followed by a PhD (4–6 years) and optional postdoctoral fellowship (2–3 years).</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Biotech researchers translate scientific discovery into clinical tools. The diagnostic test Jordan relies on does not exist without years of bench work, failed experiments, regulatory navigation, and iterative refinement that happened long before any patient benefited.</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driven by scientific questions, comfortable with uncertainty and failure, and motivated by the possibility – not the certainty – that your work will one day change how patients are diagnosed or treated.</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10: Clinical Pharmacologist</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One week after Jordan’s diagnosis. Location: Stanford’s Clinical Pharmacology Consultation Service. Jordan has been diagnosed with HLA-B27-positive anterior uveitis and likely early ankylosing spondylitis. Rheumatology is considering systemic therapy and has requested a pharmacology consult.</w:t>
            </w:r>
          </w:p>
          <w:p>
            <w:pPr>
              <w:spacing w:after="180"/>
            </w:pPr>
            <w:r>
              <w:rPr>
                <w:rFonts w:ascii="Arial" w:cs="Arial" w:eastAsia="Arial" w:hAnsi="Arial"/>
                <w:sz w:val="22"/>
                <w:szCs w:val="22"/>
              </w:rPr>
              <w:t xml:space="preserve">You are shadowing Dr. Santos, a clinical pharmacologist with a PharmD and a fellowship in clinical pharmacology. His job is to advise on drug selection, dosing, interactions, and monitoring.</w:t>
            </w:r>
          </w:p>
        </w:tc>
      </w:tr>
    </w:tbl>
    <w:p>
      <w:pPr>
        <w:spacing w:after="80"/>
      </w:pPr>
      <w:r>
        <w:t xml:space="preserve"/>
      </w:r>
    </w:p>
    <w:p>
      <w:pPr>
        <w:pStyle w:val="Heading3"/>
        <w:spacing w:before="240" w:after="120"/>
      </w:pPr>
      <w:r>
        <w:rPr>
          <w:rFonts w:ascii="Arial" w:cs="Arial" w:eastAsia="Arial" w:hAnsi="Arial"/>
          <w:b/>
          <w:bCs/>
          <w:sz w:val="24"/>
          <w:szCs w:val="24"/>
        </w:rPr>
        <w:t xml:space="preserve">Moment 1: Reading the Consultation Request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Santos opens Jordan’s chart and reads the consult request from rheumatology: ‘20yo M, new diagnosis of HLA-B27+ AS with concurrent anterior uveitis. Considering adalimumab. Please advise on drug selection, monitoring, and any pharmacogenomic considerations.’ He reads Jordan’s full medication list, lab results, and genetic testing report.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Clinical pharmacologists are not the same as pharmacists. Pharmacists work at the point of dispensing and patient counseling. Clinical pharmacologists work in academic medical centers and pharmaceutical companies, studying how drugs behave in the body at the population and individual level. The question Dr. Santos is answering is not just ‘Does this drug work for this disease?’ but ‘How does this drug behave in this patient, with this genetic profile, on these other medications?’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Rheumatology plans to start adalimumab, standard of care for HLA-B27 spondyloarthropathy. What does Dr. Santos do first?</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Approve the plan – adalimumab is well-established for this indication</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Review Jordan’s pharmacogenomic data for variants that might affect drug metabolism or immunogenicity</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Recommend a different drug class without further review</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Santos does and why:</w:t>
            </w:r>
            <w:r>
              <w:rPr>
                <w:rFonts w:ascii="Arial" w:cs="Arial" w:eastAsia="Arial" w:hAnsi="Arial"/>
                <w:sz w:val="22"/>
                <w:szCs w:val="22"/>
              </w:rPr>
              <w:t xml:space="preserve"> He chooses B. Pharmacogenomics is increasingly relevant to biologic therapy selection. Certain genetic variants affect drug clearance, immunogenicity (the tendency to develop antibodies against the biologic), and the risk of specific adverse effects. In Jordan’s case, no high-risk variants are identified, and adalimumab remains appropriate.</w:t>
            </w:r>
          </w:p>
        </w:tc>
      </w:tr>
    </w:tbl>
    <w:p>
      <w:pPr>
        <w:spacing w:after="80"/>
      </w:pPr>
      <w:r>
        <w:t xml:space="preserve"/>
      </w:r>
    </w:p>
    <w:p>
      <w:pPr>
        <w:pStyle w:val="Heading3"/>
        <w:spacing w:before="240" w:after="120"/>
      </w:pPr>
      <w:r>
        <w:rPr>
          <w:rFonts w:ascii="Arial" w:cs="Arial" w:eastAsia="Arial" w:hAnsi="Arial"/>
          <w:b/>
          <w:bCs/>
          <w:sz w:val="24"/>
          <w:szCs w:val="24"/>
        </w:rPr>
        <w:t xml:space="preserve">Moment 2: The Interaction Flag</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While reviewing Jordan’s medication history, Dr. Santos notes that Jordan has been taking ibuprofen regularly for his back pain – and has GI symptoms he attributed to dining hall food. He checks the interaction profile: concurrent NSAID use with a TNF inhibitor carries additive GI risk. Combined with Jordan’s existing GI symptoms, this warrants an adjustment to the plan.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Dr. Santos wants to address the GI risk before Jordan starts the biologic. What should he recommend?</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Discontinue ibuprofen immediately before starting adalimumab</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Continue ibuprofen as-is – NSAIDs are managing his back pain and the biologic takes 8–12 weeks to reach full effect</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Taper ibuprofen gradually as the biologic takes effect, with GI protection in the interim</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Santos does and why:</w:t>
            </w:r>
            <w:r>
              <w:rPr>
                <w:rFonts w:ascii="Arial" w:cs="Arial" w:eastAsia="Arial" w:hAnsi="Arial"/>
                <w:sz w:val="22"/>
                <w:szCs w:val="22"/>
              </w:rPr>
              <w:t xml:space="preserve"> He recommends C. Stopping ibuprofen abruptly will leave Jordan’s back pain undertreated for the 2–3 months before the biologic reaches full effect. But continuing NSAIDs without protection in the context of existing GI symptoms is also inadvisable. He recommends a supervised taper with concomitant proton pump inhibitor coverage.</w:t>
            </w:r>
          </w:p>
        </w:tc>
      </w:tr>
    </w:tbl>
    <w:p>
      <w:pPr>
        <w:spacing w:after="80"/>
      </w:pPr>
      <w:r>
        <w:t xml:space="preserve"/>
      </w:r>
    </w:p>
    <w:p>
      <w:pPr>
        <w:pStyle w:val="Heading3"/>
        <w:spacing w:before="240" w:after="120"/>
      </w:pPr>
      <w:r>
        <w:rPr>
          <w:rFonts w:ascii="Arial" w:cs="Arial" w:eastAsia="Arial" w:hAnsi="Arial"/>
          <w:b/>
          <w:bCs/>
          <w:sz w:val="24"/>
          <w:szCs w:val="24"/>
        </w:rPr>
        <w:t xml:space="preserve">Moment 3: The Consult Note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Santos writes a three-page structured consultation note: drug selection rationale, dosing recommendation, pharmacogenomic findings, the NSAID interaction flag and proposed management, a monitoring plan (tuberculosis screen, liver function tests at baseline and three months), and patient counseling points. This note will guide Jordan’s medication decisions for years.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Clinical pharmacologists produce knowledge that outlasts the encounter. Their consult notes, published research, and dosing guidelines shape how thousands of patients are treated. The individual encounter is almost never the point. The generalizable learning from it is.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is a clinical pharmacologist different from a pharmacist?</w:t>
            </w:r>
          </w:p>
          <w:p>
            <w:pPr>
              <w:spacing w:after="180"/>
            </w:pPr>
            <w:r>
              <w:rPr>
                <w:rFonts w:ascii="Arial" w:cs="Arial" w:eastAsia="Arial" w:hAnsi="Arial"/>
                <w:sz w:val="22"/>
                <w:szCs w:val="22"/>
              </w:rPr>
              <w:t xml:space="preserve">Great question – the roles look similar from the outside but are actually quite different in focus and training. A pharmacist is trained to dispense medications safely, counsel patients, review medication lists, and catch interactions at the point of care. Clinical pharmacologists are trained in the science of how drugs behave in the body at a much deeper level – pharmacokinetics (how the body processes a drug over time), pharmacodynamics (how the drug affects the body), pharmacogenomics (how genetic variation affects drug response), and the design and interpretation of clinical trials. My day-to-day work is more like a consultant than a dispensing professional: I’m called when the pharmacology gets complicated – a patient with unusual drug responses, a complex multi-drug regimen, a question about biologic selection that involves genetic testing.</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does pharmacogenomics actually mean in practice?</w:t>
            </w:r>
          </w:p>
          <w:p>
            <w:pPr>
              <w:spacing w:after="180"/>
            </w:pPr>
            <w:r>
              <w:rPr>
                <w:rFonts w:ascii="Arial" w:cs="Arial" w:eastAsia="Arial" w:hAnsi="Arial"/>
                <w:sz w:val="22"/>
                <w:szCs w:val="22"/>
              </w:rPr>
              <w:t xml:space="preserve">Pharmacogenomics is the study of how a patient’s genetic profile affects their response to medications. For Jordan, I was looking at two things: first, whether he carries genetic variants in the genes that metabolize adalimumab – variants that could mean the drug clears too fast or too slow. Second, whether there are variants associated with a higher risk of developing anti-drug antibodies – which can reduce the effectiveness of biologics over time. For most patients, pharmacogenomic testing doesn’t change the choice of biologic. But for some patients it does – and knowing this before the first dose is given is far better than discovering it after two years of suboptimal therapy.</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Clinical Pharmacologist</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MD or PharmD plus a 2–3-year clinical pharmacology fellowship; or a PhD in pharmacology combined with clinical research experience.</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Clinical pharmacologists sit at the intersection of pharmaceutical science and individual patient care. They answer the questions that prescribers cannot fully answer alone.</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fascinated by the science of how drugs work at the molecular and physiological level, you want doctoral-level expertise applied to real clinical decisions, and you find the question of variability – why the same drug has different effects in different people – genuinely compelling.</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11: Medical Writer</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Two months after Jordan’s diagnosis. Location: A patient advocacy nonprofit focused on inflammatory disease. You are shadowing Sarah, a medical writer with a master’s degree in health communication and six years of experience.</w:t>
            </w:r>
          </w:p>
          <w:p>
            <w:pPr>
              <w:spacing w:after="180"/>
            </w:pPr>
            <w:r>
              <w:rPr>
                <w:rFonts w:ascii="Arial" w:cs="Arial" w:eastAsia="Arial" w:hAnsi="Arial"/>
                <w:sz w:val="22"/>
                <w:szCs w:val="22"/>
              </w:rPr>
              <w:t xml:space="preserve">Sarah has been assigned to write a patient guide: ‘Newly Diagnosed with Uveitis: What You Need to Know.’ Her source materials are clinical guidelines, three expert interviews, and five patient testimonials.</w:t>
            </w:r>
          </w:p>
        </w:tc>
      </w:tr>
    </w:tbl>
    <w:p>
      <w:pPr>
        <w:spacing w:after="80"/>
      </w:pPr>
      <w:r>
        <w:t xml:space="preserve"/>
      </w:r>
    </w:p>
    <w:p>
      <w:pPr>
        <w:pStyle w:val="Heading3"/>
        <w:spacing w:before="240" w:after="120"/>
      </w:pPr>
      <w:r>
        <w:rPr>
          <w:rFonts w:ascii="Arial" w:cs="Arial" w:eastAsia="Arial" w:hAnsi="Arial"/>
          <w:b/>
          <w:bCs/>
          <w:sz w:val="24"/>
          <w:szCs w:val="24"/>
        </w:rPr>
        <w:t xml:space="preserve">Moment 1: The Audience Problem</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Before writing a word, Sarah works on her audience brief: ‘Recently diagnosed, likely frightened, probably under thirty-five, may have been misdiagnosed once already, does not know what spondyloarthropathy means but needs to.’ The audience brief will sit on her desk for the entire project.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Medical writing is not science writing. It is not journalism. It is a discipline of translation: taking clinical language and rendering it accurately for a specific audience with specific needs. The challenge is not scientific accuracy – that is the baseline. The challenge is register: not too clinical, not condescending, not falsely reassuring.</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A rheumatologist consultant uses the phrase ‘HLA-B27-positive seronegative spondyloarthropathy’ in one of her expert interviews. This is the accurate clinical term for Jordan’s diagnosis. What should Sarah do with it?</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Use the clinical term with a parenthetical plain-language definition</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Replace it entirely with accessible language: ‘a type of inflammatory arthritis linked to a specific gene’</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Drop the clinical term and convey the meaning in her own words, written for the audience brief she created</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Sarah does and why:</w:t>
            </w:r>
            <w:r>
              <w:rPr>
                <w:rFonts w:ascii="Arial" w:cs="Arial" w:eastAsia="Arial" w:hAnsi="Arial"/>
                <w:sz w:val="22"/>
                <w:szCs w:val="22"/>
              </w:rPr>
              <w:t xml:space="preserve"> She chooses C. Patient guides read best in a consistent, accessible voice throughout. Clinical terms – even with definitions – signal to patients that the document is not really for them. Sarah conveys the meaning of the rheumatologist’s statement in plain language, in her own voice, without the jargon.</w:t>
            </w:r>
          </w:p>
        </w:tc>
      </w:tr>
    </w:tbl>
    <w:p>
      <w:pPr>
        <w:spacing w:after="80"/>
      </w:pPr>
      <w:r>
        <w:t xml:space="preserve"/>
      </w:r>
    </w:p>
    <w:p>
      <w:pPr>
        <w:pStyle w:val="Heading3"/>
        <w:spacing w:before="240" w:after="120"/>
      </w:pPr>
      <w:r>
        <w:rPr>
          <w:rFonts w:ascii="Arial" w:cs="Arial" w:eastAsia="Arial" w:hAnsi="Arial"/>
          <w:b/>
          <w:bCs/>
          <w:sz w:val="24"/>
          <w:szCs w:val="24"/>
        </w:rPr>
        <w:t xml:space="preserve">Moment 2: The Hardest Paragraph</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Sarah is writing the section on long-term risks: chronic uveitis, vision loss, progression of inflammatory arthritis. She needs to be accurate without being alarming. She writes four drafts. She sends all four to a patient reviewer – a woman who was diagnosed with uveitis at twenty-four. The reviewer responds: ‘Version three made me feel like I had no control. Version four is the one I wish I’d had when I was diagnosed.’ Sarah uses version four.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Good medical writing is tested on the people it is for. Sarah’s patient reviewer is not a courtesy – she is the quality check. No amount of clinical expertise or writing skill substitutes for feedback from the actual audience.</w:t>
            </w:r>
          </w:p>
        </w:tc>
      </w:tr>
    </w:tbl>
    <w:p>
      <w:pPr>
        <w:spacing w:after="80"/>
      </w:pPr>
      <w:r>
        <w:t xml:space="preserve"/>
      </w:r>
    </w:p>
    <w:p>
      <w:pPr>
        <w:pStyle w:val="Heading3"/>
        <w:spacing w:before="240" w:after="120"/>
      </w:pPr>
      <w:r>
        <w:rPr>
          <w:rFonts w:ascii="Arial" w:cs="Arial" w:eastAsia="Arial" w:hAnsi="Arial"/>
          <w:b/>
          <w:bCs/>
          <w:sz w:val="24"/>
          <w:szCs w:val="24"/>
        </w:rPr>
        <w:t xml:space="preserve">Moment 3: Jordan Reads the Guide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Jordan is six weeks post-diagnosis. He reads the guide on his phone at eleven at night. He reaches the section on HLA-B27.</w:t>
      </w:r>
    </w:p>
    <w:p>
      <w:pPr>
        <w:spacing w:after="180"/>
        <w:ind w:left="720"/>
      </w:pPr>
      <w:r>
        <w:rPr>
          <w:rFonts w:ascii="Arial" w:cs="Arial" w:eastAsia="Arial" w:hAnsi="Arial"/>
          <w:i/>
          <w:iCs/>
          <w:sz w:val="22"/>
          <w:szCs w:val="22"/>
        </w:rPr>
        <w:t xml:space="preserve">“This gene doesn’t cause disease by itself. It changes the probability. Many people with HLA-B27 never develop any inflammatory condition. What it means for you is that your immune system is wired a certain way – and now that you know, you and your doctors can watch for it.”</w:t>
      </w:r>
    </w:p>
    <w:p>
      <w:pPr>
        <w:spacing w:after="180"/>
      </w:pPr>
      <w:r>
        <w:rPr>
          <w:rFonts w:ascii="Arial" w:cs="Arial" w:eastAsia="Arial" w:hAnsi="Arial"/>
          <w:sz w:val="22"/>
          <w:szCs w:val="22"/>
        </w:rPr>
        <w:t xml:space="preserve">He reads that sentence twice. Sarah will never meet Jordan. But she wrote that sentence for him.</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did you end up in medical writing? It’s not a career most pre-health students have heard of.</w:t>
            </w:r>
          </w:p>
          <w:p>
            <w:pPr>
              <w:spacing w:after="180"/>
            </w:pPr>
            <w:r>
              <w:rPr>
                <w:rFonts w:ascii="Arial" w:cs="Arial" w:eastAsia="Arial" w:hAnsi="Arial"/>
                <w:sz w:val="22"/>
                <w:szCs w:val="22"/>
              </w:rPr>
              <w:t xml:space="preserve">I was a biology major who loved writing, and I couldn’t decide between the two. Medical writing was the field where both mattered equally. After my undergraduate degree, I completed a master’s in health communication, which trained me in how to write for specific audiences, how to evaluate evidence, and how to work within regulatory and ethical frameworks for health information. I started in a healthcare communications agency writing patient education materials and physician communications, then moved into regulatory medical writing – which involves writing the documents that support FDA submissions for new drugs. I eventually moved to the patient advocacy side because I wanted my writing to reach patients directly. The range of roles in medical writing is enormous: regulatory writing, clinical trial documentation, journal articles, patient education, health journalism, pharmaceutical marketing. Every piece of health information you’ve ever read was written by someone.</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Can medical writing be a stable, well-paying career? Or is it precarious like most writing?</w:t>
            </w:r>
          </w:p>
          <w:p>
            <w:pPr>
              <w:spacing w:after="180"/>
            </w:pPr>
            <w:r>
              <w:rPr>
                <w:rFonts w:ascii="Arial" w:cs="Arial" w:eastAsia="Arial" w:hAnsi="Arial"/>
                <w:sz w:val="22"/>
                <w:szCs w:val="22"/>
              </w:rPr>
              <w:t xml:space="preserve">Medical writing is one of the most financially stable writing careers that exists, precisely because the demand is high and the supply of writers with genuine scientific backgrounds is relatively limited. Regulatory medical writers who work on FDA submissions – clinical study reports, investigator brochures, summary documents – are in very high demand from pharmaceutical and biotech companies. Starting salaries for entry-level medical writers are typically in the $65,000–$90,000 range; senior regulatory writers at large companies can earn well over $150,000. Patient education and health communication roles are somewhat lower but still stable and well-compensated compared to most writing fields. Freelance medical writing is also a viable model – experienced freelancers set their own hours and rates.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Medical Writer</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Bachelor’s or master’s degree in English, journalism, communications, health communication, or a health science. Certifications include the AMWA Medical Writing Certification (MWC) and the ISMPP CMPP.</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Medical writers are the translators of healthcare – between science and patients, between research and clinicians, between data and decisions. The writing is invisible when it works; patients and providers use it without thinking about it.</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love language and science in equal measure, you find satisfaction in making complex things clear without oversimplifying them, and you want your work to reach people at moments that genuinely matter.</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12: Health Policy Analyst</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Three weeks after Jordan’s diagnosis. Location: The prior authorization review team at Jordan’s health insurance plan. Jordan’s rheumatologist has submitted a request for prior authorization of adalimumab for ankylosing spondylitis.</w:t>
            </w:r>
          </w:p>
          <w:p>
            <w:pPr>
              <w:spacing w:after="180"/>
            </w:pPr>
            <w:r>
              <w:rPr>
                <w:rFonts w:ascii="Arial" w:cs="Arial" w:eastAsia="Arial" w:hAnsi="Arial"/>
                <w:sz w:val="22"/>
                <w:szCs w:val="22"/>
              </w:rPr>
              <w:t xml:space="preserve">You are shadowing Marcus, a health policy analyst who develops and audits the clinical criteria used for prior authorization decisions. He did not design Jordan’s specific case. He designs the rules that will govern Jordan’s case – and the cases of thousands of members like him.</w:t>
            </w:r>
          </w:p>
        </w:tc>
      </w:tr>
    </w:tbl>
    <w:p>
      <w:pPr>
        <w:spacing w:after="80"/>
      </w:pPr>
      <w:r>
        <w:t xml:space="preserve"/>
      </w:r>
    </w:p>
    <w:p>
      <w:pPr>
        <w:pStyle w:val="Heading3"/>
        <w:spacing w:before="240" w:after="120"/>
      </w:pPr>
      <w:r>
        <w:rPr>
          <w:rFonts w:ascii="Arial" w:cs="Arial" w:eastAsia="Arial" w:hAnsi="Arial"/>
          <w:b/>
          <w:bCs/>
          <w:sz w:val="24"/>
          <w:szCs w:val="24"/>
        </w:rPr>
        <w:t xml:space="preserve">Moment 1: The Prior Authorization Criteria</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Marcus is reviewing the current prior authorization criteria for TNF inhibitors in spondyloarthropathy. The policy requires a documented three-month trial of NSAIDs before a biologic will be approved. He notes a problem: for a patient with concurrent active uveitis, a three-month NSAID trial is potentially harmful. Uveitis can cause permanent vision damage within weeks of untreated inflammation.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Prior authorization is one of the most consequential – and least visible – forces in American healthcare. The criteria Marcus’s team writes determine whether thousands of patients can access a treatment their doctor has already decided they need.</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Jordan’s rheumatologist has submitted an exception request, noting that active uveitis makes the NSAID step therapy requirement clinically inappropriate. What should Marcus recommend?</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Deny – the policy applies uniformly; exceptions undermine consistency</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Approve with exception – active uveitis is a legitimate clinical reason to bypass the step therapy requirement</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Escalate to a physician medical reviewer and recuse from the decision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Marcus does and why:</w:t>
            </w:r>
            <w:r>
              <w:rPr>
                <w:rFonts w:ascii="Arial" w:cs="Arial" w:eastAsia="Arial" w:hAnsi="Arial"/>
                <w:sz w:val="22"/>
                <w:szCs w:val="22"/>
              </w:rPr>
              <w:t xml:space="preserve"> He recommends B. Step therapy exemptions exist for exactly this reason: clinical complexity that makes the default pathway harmful rather than helpful. Marcus has the clinical evidence – active uveitis carries documented risk of rapid vision loss – and the policy authority to recommend approval with documented exception.</w:t>
            </w:r>
          </w:p>
        </w:tc>
      </w:tr>
    </w:tbl>
    <w:p>
      <w:pPr>
        <w:spacing w:after="80"/>
      </w:pPr>
      <w:r>
        <w:t xml:space="preserve"/>
      </w:r>
    </w:p>
    <w:p>
      <w:pPr>
        <w:pStyle w:val="Heading3"/>
        <w:spacing w:before="240" w:after="120"/>
      </w:pPr>
      <w:r>
        <w:rPr>
          <w:rFonts w:ascii="Arial" w:cs="Arial" w:eastAsia="Arial" w:hAnsi="Arial"/>
          <w:b/>
          <w:bCs/>
          <w:sz w:val="24"/>
          <w:szCs w:val="24"/>
        </w:rPr>
        <w:t xml:space="preserve">Moment 2: The Pattern Behind One Case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While processing Jordan’s case, Marcus pulls aggregate data: how often do plan members with a concurrent uveitis diagnosis receive a step therapy exemption for the spondyloarthropathy biologic pathway? The answer: thirty-four percent of the time. The other sixty-six percent go through a three-month NSAID trial despite having an active eye condition. Marcus just found evidence that the current policy is systematically harming a specific patient population.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Marcus wants to propose a formal revision to the prior authorization criteria. Who needs to be involved?</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Just the medical director – this is a clinical decision</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Legal, medical affairs, actuarial, and a clinical advisory board – policy changes carry financial and regulatory implications</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Notify providers of the existing exemption pathway without changing the underlying policy</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Marcus does and why:</w:t>
            </w:r>
            <w:r>
              <w:rPr>
                <w:rFonts w:ascii="Arial" w:cs="Arial" w:eastAsia="Arial" w:hAnsi="Arial"/>
                <w:sz w:val="22"/>
                <w:szCs w:val="22"/>
              </w:rPr>
              <w:t xml:space="preserve"> He pursues B. Policy change in a health plan is not a clinical decision alone. Actuarial needs to model the cost impact. Legal needs to review regulatory compliance. Medical affairs needs to validate the clinical rationale. Marcus writes a policy brief, assembles the evidence, and convenes a review committee.</w:t>
            </w:r>
          </w:p>
        </w:tc>
      </w:tr>
    </w:tbl>
    <w:p>
      <w:pPr>
        <w:spacing w:after="80"/>
      </w:pPr>
      <w:r>
        <w:t xml:space="preserve"/>
      </w:r>
    </w:p>
    <w:p>
      <w:pPr>
        <w:pStyle w:val="Heading3"/>
        <w:spacing w:before="240" w:after="120"/>
      </w:pPr>
      <w:r>
        <w:rPr>
          <w:rFonts w:ascii="Arial" w:cs="Arial" w:eastAsia="Arial" w:hAnsi="Arial"/>
          <w:b/>
          <w:bCs/>
          <w:sz w:val="24"/>
          <w:szCs w:val="24"/>
        </w:rPr>
        <w:t xml:space="preserve">Moment 3: The Policy Changes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Six months later, the health plan publishes updated clinical criteria. Active uveitis is now explicitly listed as a step therapy exemption condition for TNF inhibitors in spondyloarthropathy. Marcus estimates this change will affect approximately two hundred plan members per year. He will not meet any of them. He will see the impact in the data.</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Why do insurance companies get to decide what medications I can have? My doctor already prescribed it.</w:t>
            </w:r>
          </w:p>
          <w:p>
            <w:pPr>
              <w:spacing w:after="180"/>
            </w:pPr>
            <w:r>
              <w:rPr>
                <w:rFonts w:ascii="Arial" w:cs="Arial" w:eastAsia="Arial" w:hAnsi="Arial"/>
                <w:sz w:val="22"/>
                <w:szCs w:val="22"/>
              </w:rPr>
              <w:t xml:space="preserve">That’s one of the most fundamental frustrations patients have with the American healthcare system, and it’s a fair question. Prior authorization exists as a cost management tool: insurers require evidence of medical necessity before covering treatments that are expensive or that have cheaper alternatives. The theory is that this steers patients toward first-line treatments first, reserving expensive biologics for patients who genuinely need them. The problem is that the criteria were designed at the population level and don’t always account for individual clinical complexity – which is exactly what happened with Jordan. He had an indication that made the standard first-line requirement dangerous. That’s why the exemption pathway and the appeal process exist. And that’s why my job exists: to make sure those pathways work correctly and that the criteria reflect current clinical evidence.</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do you actually change a health plan policy? It sounds bureaucratic.</w:t>
            </w:r>
          </w:p>
          <w:p>
            <w:pPr>
              <w:spacing w:after="180"/>
            </w:pPr>
            <w:r>
              <w:rPr>
                <w:rFonts w:ascii="Arial" w:cs="Arial" w:eastAsia="Arial" w:hAnsi="Arial"/>
                <w:sz w:val="22"/>
                <w:szCs w:val="22"/>
              </w:rPr>
              <w:t xml:space="preserve">It is bureaucratic – deliberately so, because health plan policies affect hundreds of thousands of members and changing them has financial, legal, and clinical implications that have to be carefully evaluated. The process starts with evidence: I need to demonstrate that the current criteria are producing clinically inappropriate outcomes. That means data – how often are patients being denied despite having clear indications? What are the clinical outcomes for those patients? Then I build a policy brief making the case for change, which goes through a review committee that includes clinicians, actuaries, and legal counsel. The actuarial team models what the change would cost. Legal reviews for regulatory compliance. Medical affairs validates the clinical rationale. Then it goes to the medical director for approval. Start to finish, a non-urgent policy revision might take six to twelve months. An urgent patient safety issue can move faster.</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Health Policy Analyst</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Bachelor’s degree in public health, political science, economics, or health administration; master’s degree (MPH, MHA, MPP) common for analytical roles.</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Health policy analysts write the rules that govern who gets what care, when, and how. They sit at the intersection of clinical evidence, regulatory compliance, financial stewardship, and patient access – invisible to patients, structural to the entire system.</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motivated by systems-level thinking, you want your work to scale across large populations, and you find the intersection of medicine and policy – the question of how decisions get made about who gets what – genuinely compelling.</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13: Public Health Administrator</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Two weeks after Jordan’s visit. Location: Stanford University’s Student Health Center. You are shadowing Dr. Rivera, the director of Stanford Student Health, a physician with a master of public health degree and twelve years of experience in university health administration.</w:t>
            </w:r>
          </w:p>
          <w:p>
            <w:pPr>
              <w:spacing w:after="180"/>
            </w:pPr>
            <w:r>
              <w:rPr>
                <w:rFonts w:ascii="Arial" w:cs="Arial" w:eastAsia="Arial" w:hAnsi="Arial"/>
                <w:sz w:val="22"/>
                <w:szCs w:val="22"/>
              </w:rPr>
              <w:t xml:space="preserve">Dr. Rivera does not know Jordan’s name. But she is about to read a report that will make his case – and two others like it – relevant to her work.</w:t>
            </w:r>
          </w:p>
        </w:tc>
      </w:tr>
    </w:tbl>
    <w:p>
      <w:pPr>
        <w:spacing w:after="80"/>
      </w:pPr>
      <w:r>
        <w:t xml:space="preserve"/>
      </w:r>
    </w:p>
    <w:p>
      <w:pPr>
        <w:pStyle w:val="Heading3"/>
        <w:spacing w:before="240" w:after="120"/>
      </w:pPr>
      <w:r>
        <w:rPr>
          <w:rFonts w:ascii="Arial" w:cs="Arial" w:eastAsia="Arial" w:hAnsi="Arial"/>
          <w:b/>
          <w:bCs/>
          <w:sz w:val="24"/>
          <w:szCs w:val="24"/>
        </w:rPr>
        <w:t xml:space="preserve">Moment 1: The Population Signal</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Rivera is reviewing a monthly quality report. One flag: three students in the past six weeks have presented to urgent care with red eye complaints that were initially under-evaluated and later received a diagnosis of uveitis or iritis.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Public health administrators think in populations, not in individuals. Three cases of uveitis in six weeks at a single university campus is not just three students – it is a signal that something in the clinical system may need attention.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Dr. Rivera has identified three cases of uveitis with initial under-evaluation. What does she do first?</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Send an alert to all students advising them to watch for eye symptoms</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Review whether these three cases represent a true clinical quality gap or normal variation, and examine the care each patient received</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Mandate eye screening for all students presenting to student health</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Rivera does and why:</w:t>
            </w:r>
            <w:r>
              <w:rPr>
                <w:rFonts w:ascii="Arial" w:cs="Arial" w:eastAsia="Arial" w:hAnsi="Arial"/>
                <w:sz w:val="22"/>
                <w:szCs w:val="22"/>
              </w:rPr>
              <w:t xml:space="preserve"> She chooses B. Before any public health or operational response, she needs to understand what she is responding to. She pulls all three charts. What she finds: two cases had delayed referrals; one (Jordan’s) was referred same-day. The common thread: inconsistent documentation of photophobia and pupil exam in the urgent care notes.</w:t>
            </w:r>
          </w:p>
        </w:tc>
      </w:tr>
    </w:tbl>
    <w:p>
      <w:pPr>
        <w:spacing w:after="80"/>
      </w:pPr>
      <w:r>
        <w:t xml:space="preserve"/>
      </w:r>
    </w:p>
    <w:p>
      <w:pPr>
        <w:pStyle w:val="Heading3"/>
        <w:spacing w:before="240" w:after="120"/>
      </w:pPr>
      <w:r>
        <w:rPr>
          <w:rFonts w:ascii="Arial" w:cs="Arial" w:eastAsia="Arial" w:hAnsi="Arial"/>
          <w:b/>
          <w:bCs/>
          <w:sz w:val="24"/>
          <w:szCs w:val="24"/>
        </w:rPr>
        <w:t xml:space="preserve">Moment 2: The System Response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Rivera convenes a meeting with the urgent care medical director and the clinical informatics team. Her ask: can we standardize the rooming process for eye complaints so that photophobia and vision change are captured consistently for every patient? The informatics team says they can build an EHR prompt. The medical director says she can issue a clinical bulletin in the interim.</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The informatics team says the EHR prompt will take eight weeks to build and test. What does Dr. Rivera do in the meantime?</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Wait for the IT solution so the change is consistent and system-wide</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Issue a clinical bulletin to urgent care providers this week about red eye assessment</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Do both: bulletin now, EHR integration when ready</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Rivera does and why:</w:t>
            </w:r>
            <w:r>
              <w:rPr>
                <w:rFonts w:ascii="Arial" w:cs="Arial" w:eastAsia="Arial" w:hAnsi="Arial"/>
                <w:sz w:val="22"/>
                <w:szCs w:val="22"/>
              </w:rPr>
              <w:t xml:space="preserve"> She chooses C. Interim measures protect patients while the longer-term solution is built. A bulletin issued today will reach providers this week. The EHR prompt, when it launches, will make the behavior structural and sustainable.</w:t>
            </w:r>
          </w:p>
        </w:tc>
      </w:tr>
    </w:tbl>
    <w:p>
      <w:pPr>
        <w:spacing w:after="80"/>
      </w:pPr>
      <w:r>
        <w:t xml:space="preserve"/>
      </w:r>
    </w:p>
    <w:p>
      <w:pPr>
        <w:pStyle w:val="Heading3"/>
        <w:spacing w:before="240" w:after="120"/>
      </w:pPr>
      <w:r>
        <w:rPr>
          <w:rFonts w:ascii="Arial" w:cs="Arial" w:eastAsia="Arial" w:hAnsi="Arial"/>
          <w:b/>
          <w:bCs/>
          <w:sz w:val="24"/>
          <w:szCs w:val="24"/>
        </w:rPr>
        <w:t xml:space="preserve">Moment 3: The Upstream Question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While reviewing the three charts, Dr. Rivera notices that all three students had visited a campus pharmacy before coming to urgent care. All three purchased OTC eye drops. None was advised to seek clinical care at that visit. She flags this for the student health policy committee: are students substituting pharmacy visits for clinical visits in ways that delay diagnosis? Is there an opportunity to partner with campus pharmacies on a referral protocol?</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What’s the difference between public health and being a doctor? You’re both trying to help people.</w:t>
            </w:r>
          </w:p>
          <w:p>
            <w:pPr>
              <w:spacing w:after="180"/>
            </w:pPr>
            <w:r>
              <w:rPr>
                <w:rFonts w:ascii="Arial" w:cs="Arial" w:eastAsia="Arial" w:hAnsi="Arial"/>
                <w:sz w:val="22"/>
                <w:szCs w:val="22"/>
              </w:rPr>
              <w:t xml:space="preserve">That’s exactly the right question, and the answer gets at something fundamental about how healthcare works. A physician helps one patient at a time – the person in the room. My job is to help the ten thousand students who might walk through this clinic’s doors over the next year. I’m never in the room with the patient. Instead, I’m designing the system they move through. When I fix the rooming protocol for eye complaints, I’m not fixing Jordan’s uveitis. I’m making sure the next student with uveitis gets the same quality of care that Jordan was lucky enough to receive. The physician’s impact is one encounter at a time. Mine is structural – and if the structure is right, it works even when I’m not watching.</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kinds of training do public health administrators have?</w:t>
            </w:r>
          </w:p>
          <w:p>
            <w:pPr>
              <w:spacing w:after="180"/>
            </w:pPr>
            <w:r>
              <w:rPr>
                <w:rFonts w:ascii="Arial" w:cs="Arial" w:eastAsia="Arial" w:hAnsi="Arial"/>
                <w:sz w:val="22"/>
                <w:szCs w:val="22"/>
              </w:rPr>
              <w:t xml:space="preserve">The most common pathway is a Master of Public Health – an MPH – which typically takes two years after a bachelor’s degree. MPH programs train students in epidemiology, health policy, biostatistics, health systems management, and social determinants of health. Many public health administrators also have a clinical background – I’m a physician with an MPH, which means I can speak credibly to clinical staff while also thinking at the population level. Other public health leaders have MHAs – Master of Health Administration degrees – which focus more on the organizational and financial management side of health systems. At the doctoral level, there’s the DrPH – Doctor of Public Health – for those who want to lead large systems or conduct population health research.</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Public Health Administrator</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MPH or MHA; leadership roles often require MD/MPH or DrPH. Many entry-level roles are accessible with an MPH.</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Public health administrators run the systems that deliver care to populations. Their work is preventive in the truest sense: redesigning systems so the next patient does not have the same experience as the last one.</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think in populations rather than individuals, you want to lead organizations and systems, and you find the question of why people get sick – or get well – before they ever see a doctor to be the most important question in healthcare.</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14: Health Care Manager</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The same week as Jordan’s visit. Location: Stanford University Urgent Care. You are shadowing Elena, the clinic manager, who has an MHA and five years of experience running the operational side of a high-volume urgent care clinic.</w:t>
            </w:r>
          </w:p>
          <w:p>
            <w:pPr>
              <w:spacing w:after="180"/>
            </w:pPr>
            <w:r>
              <w:rPr>
                <w:rFonts w:ascii="Arial" w:cs="Arial" w:eastAsia="Arial" w:hAnsi="Arial"/>
                <w:sz w:val="22"/>
                <w:szCs w:val="22"/>
              </w:rPr>
              <w:t xml:space="preserve">Elena does not see patients. She sees the clinic as a system: staffing ratios, patient flow, quality metrics, referral turnaround times, patient satisfaction scores, and financial performance.</w:t>
            </w:r>
          </w:p>
        </w:tc>
      </w:tr>
    </w:tbl>
    <w:p>
      <w:pPr>
        <w:spacing w:after="80"/>
      </w:pPr>
      <w:r>
        <w:t xml:space="preserve"/>
      </w:r>
    </w:p>
    <w:p>
      <w:pPr>
        <w:pStyle w:val="Heading3"/>
        <w:spacing w:before="240" w:after="120"/>
      </w:pPr>
      <w:r>
        <w:rPr>
          <w:rFonts w:ascii="Arial" w:cs="Arial" w:eastAsia="Arial" w:hAnsi="Arial"/>
          <w:b/>
          <w:bCs/>
          <w:sz w:val="24"/>
          <w:szCs w:val="24"/>
        </w:rPr>
        <w:t xml:space="preserve">Moment 1: The Quality Dashboard</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Elena reviews the clinic’s quality metrics every Monday. Most indicators are green. One is amber: the fourteen-day return visit rate for patients whose chief complaint involved the eye is twelve percent – more than double the clinic’s five-percent benchmark.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Health care managers see the clinic through the lens of metrics, flow, and systems. The twelve-percent return rate is not just a number – it is a signal that something in the clinical process may not be working as intended.</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Elena notices the amber metric for eye complaint return visits. What does she do?</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Flag it immediately to the medical director and defer to clinical leadership</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Pull the underlying cases herself and look for patterns before escalating</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Ignore it for another month to see if it resolves on its own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Elena does and why:</w:t>
            </w:r>
            <w:r>
              <w:rPr>
                <w:rFonts w:ascii="Arial" w:cs="Arial" w:eastAsia="Arial" w:hAnsi="Arial"/>
                <w:sz w:val="22"/>
                <w:szCs w:val="22"/>
              </w:rPr>
              <w:t xml:space="preserve"> She chooses B. A good manager does the investigative work before bringing a problem to clinical leadership. She pulls eight charts from the past three months. What she finds: in six of the eight cases, there is no documentation of photophobia in the urgent care note, and pupil exam is documented in only two.</w:t>
            </w:r>
          </w:p>
        </w:tc>
      </w:tr>
    </w:tbl>
    <w:p>
      <w:pPr>
        <w:spacing w:after="80"/>
      </w:pPr>
      <w:r>
        <w:t xml:space="preserve"/>
      </w:r>
    </w:p>
    <w:p>
      <w:pPr>
        <w:pStyle w:val="Heading3"/>
        <w:spacing w:before="240" w:after="120"/>
      </w:pPr>
      <w:r>
        <w:rPr>
          <w:rFonts w:ascii="Arial" w:cs="Arial" w:eastAsia="Arial" w:hAnsi="Arial"/>
          <w:b/>
          <w:bCs/>
          <w:sz w:val="24"/>
          <w:szCs w:val="24"/>
        </w:rPr>
        <w:t xml:space="preserve">Moment 2: The Root Cause Meeting</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Elena brings her findings to a thirty-minute root cause meeting: the medical director, two urgent care physicians, and Diego, the MA who roomed Jordan. She presents the data without assigning blame. She asks: what is happening in the room when patients present with eye complaints?</w:t>
      </w:r>
    </w:p>
    <w:p>
      <w:pPr>
        <w:spacing w:after="180"/>
        <w:ind w:left="720"/>
      </w:pPr>
      <w:r>
        <w:rPr>
          <w:rFonts w:ascii="Arial" w:cs="Arial" w:eastAsia="Arial" w:hAnsi="Arial"/>
          <w:b/>
          <w:bCs/>
          <w:sz w:val="22"/>
          <w:szCs w:val="22"/>
        </w:rPr>
        <w:t xml:space="preserve">Diego says:</w:t>
      </w:r>
      <w:r>
        <w:rPr>
          <w:rFonts w:ascii="Arial" w:cs="Arial" w:eastAsia="Arial" w:hAnsi="Arial"/>
          <w:i/>
          <w:iCs/>
          <w:sz w:val="22"/>
          <w:szCs w:val="22"/>
        </w:rPr>
        <w:t xml:space="preserve"> “When I room patients with eye complaints, I use my own judgment about what to ask. But I don’t have a standard set of questions. Not everyone might ask what I ask.”</w:t>
      </w:r>
    </w:p>
    <w:p>
      <w:pPr>
        <w:spacing w:after="180"/>
      </w:pPr>
      <w:r>
        <w:rPr>
          <w:rFonts w:ascii="Arial" w:cs="Arial" w:eastAsia="Arial" w:hAnsi="Arial"/>
          <w:sz w:val="22"/>
          <w:szCs w:val="22"/>
        </w:rPr>
        <w:t xml:space="preserve">Elena writes that down. The problem is not individual failure. It is the absence of structure.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The team agrees that the rooming process for eye complaints needs more structure. Who should design the new rooming checklist?</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Elena, as the manager responsible for clinic operations</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The medical director, as the senior clinical leader</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A small working group including MAs, a physician, and the informatics team</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Elena does and why:</w:t>
            </w:r>
            <w:r>
              <w:rPr>
                <w:rFonts w:ascii="Arial" w:cs="Arial" w:eastAsia="Arial" w:hAnsi="Arial"/>
                <w:sz w:val="22"/>
                <w:szCs w:val="22"/>
              </w:rPr>
              <w:t xml:space="preserve"> She convenes option C. The people who do the work design the work. A checklist written by managers alone will not reflect clinical reality; one written by clinicians alone may not integrate smoothly with the operational workflow or the EHR. Elena facilitates the working group and keeps it on a three-week timeline.</w:t>
            </w:r>
          </w:p>
        </w:tc>
      </w:tr>
    </w:tbl>
    <w:p>
      <w:pPr>
        <w:spacing w:after="80"/>
      </w:pPr>
      <w:r>
        <w:t xml:space="preserve"/>
      </w:r>
    </w:p>
    <w:p>
      <w:pPr>
        <w:pStyle w:val="Heading3"/>
        <w:spacing w:before="240" w:after="120"/>
      </w:pPr>
      <w:r>
        <w:rPr>
          <w:rFonts w:ascii="Arial" w:cs="Arial" w:eastAsia="Arial" w:hAnsi="Arial"/>
          <w:b/>
          <w:bCs/>
          <w:sz w:val="24"/>
          <w:szCs w:val="24"/>
        </w:rPr>
        <w:t xml:space="preserve">Moment 3: The Operational Change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Three weeks later, the clinic launches a standardized rooming protocol for eye complaints. Two months after launch, Elena reviews the metrics. The fourteen-day return visit rate for eye complaints has dropped from twelve percent to six. She sends a one-paragraph summary to the medical director. Elena never examined a patient. But the operational change she managed will improve the accuracy of every eye complaint encounter at this clinic.</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Is this a clinical career? It sounds like business management.</w:t>
            </w:r>
          </w:p>
          <w:p>
            <w:pPr>
              <w:spacing w:after="180"/>
            </w:pPr>
            <w:r>
              <w:rPr>
                <w:rFonts w:ascii="Arial" w:cs="Arial" w:eastAsia="Arial" w:hAnsi="Arial"/>
                <w:sz w:val="22"/>
                <w:szCs w:val="22"/>
              </w:rPr>
              <w:t xml:space="preserve">It’s both, and that’s actually what makes it interesting. Health care management is the operational infrastructure of clinical medicine. I’m not a clinician – I don’t have a clinical license and I don’t treat patients. But I manage the people who do, the resources they need, the processes they follow, and the data that tells us whether those processes are working. Without people like me, the best clinical team in the world is working in chaos – wrong staffing ratios, broken equipment, inefficient scheduling, quality problems that nobody is tracking. The clinical work is only as good as the operational system it happens inside. My job is to make that system as good as it can be.</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What’s the career path for someone interested in healthcare management?</w:t>
            </w:r>
          </w:p>
          <w:p>
            <w:pPr>
              <w:spacing w:after="180"/>
            </w:pPr>
            <w:r>
              <w:rPr>
                <w:rFonts w:ascii="Arial" w:cs="Arial" w:eastAsia="Arial" w:hAnsi="Arial"/>
                <w:sz w:val="22"/>
                <w:szCs w:val="22"/>
              </w:rPr>
              <w:t xml:space="preserve">Most healthcare managers have at least a bachelor’s degree, and management roles increasingly require a graduate degree – either an MHA (Master of Health Administration), an MBA with a healthcare concentration, or an MPH with a management focus. Some healthcare managers start in clinical roles – as nurses, PTs, or other clinicians – and transition into management after a few years of practice. Others come directly from undergraduate business or public health programs into administrative roles and work their way up. The entry-level roles are often in operations coordination, quality improvement, or practice management at a clinic level. Leadership roles at the system level – VP of operations, Chief Operating Officer, hospital CEO – typically require 10–15 years of progressively responsible management experience.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Health Care Manager</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Bachelor’s degree in health administration, business, or a clinical field; MHA, MBA (healthcare), or MPH common for leadership roles.</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Health care managers are the operational backbone of clinical systems. They design the processes, manage the resources, and build the infrastructure within which clinical care happens. The patient never sees them. The patient’s experience is shaped by them at every step.</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want to work in healthcare without a clinical role, you think in systems and processes, you find satisfaction in building the conditions under which good clinical care can happen, and you want to lead organizations rather than individual encounters.</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15: Health Insurance Executive</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Three months before Jordan’s diagnosis. Location: The corporate headquarters of a large national health plan. You are shadowing Dana Chen, MD, MBA, Vice President of Pharmacy Benefits Strategy. Her decisions govern coverage for 4.2 million plan members. She does not know Jordan’s name. She will never know it. But in this meeting, she is about to make a decision that will directly shape what happens when he needs access to a biologic medication.</w:t>
            </w:r>
          </w:p>
          <w:p>
            <w:pPr>
              <w:spacing w:after="180"/>
            </w:pPr>
            <w:r>
              <w:rPr>
                <w:rFonts w:ascii="Arial" w:cs="Arial" w:eastAsia="Arial" w:hAnsi="Arial"/>
                <w:sz w:val="22"/>
                <w:szCs w:val="22"/>
              </w:rPr>
              <w:t xml:space="preserve">Dana is presenting to the Plan’s Benefits Steering Committee. The topic: specialty pharmaceutical spend on biologics for autoimmune conditions has increased 34% year over year. The committee needs a strategy for the coming plan year.</w:t>
            </w:r>
          </w:p>
        </w:tc>
      </w:tr>
    </w:tbl>
    <w:p>
      <w:pPr>
        <w:spacing w:after="80"/>
      </w:pPr>
      <w:r>
        <w:t xml:space="preserve"/>
      </w:r>
    </w:p>
    <w:p>
      <w:pPr>
        <w:pStyle w:val="Heading3"/>
        <w:spacing w:before="240" w:after="120"/>
      </w:pPr>
      <w:r>
        <w:rPr>
          <w:rFonts w:ascii="Arial" w:cs="Arial" w:eastAsia="Arial" w:hAnsi="Arial"/>
          <w:b/>
          <w:bCs/>
          <w:sz w:val="24"/>
          <w:szCs w:val="24"/>
        </w:rPr>
        <w:t xml:space="preserve">Moment 1: The Data That Opens the Meeting</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Dana opens with a slide. Total specialty drug spend: $2.1 billion. Biologics for inflammatory conditions: the largest single category, now 28% of pharmacy spend. Average cost per patient per year: $68,000. Number of plan members on a biologic for an inflammatory condition: approximately 31,000 members.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A committee member asks: ‘What proportion of new biologic starts are going through step therapy?’ Dana answers: ‘Currently 71%. Our clinical criteria require a documented three-month NSAID trial before we’ll cover a biologic for inflammatory arthritis.’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Insurance executives work with population-level data that no individual clinician ever sees. Dana is not looking at Jordan’s case. She is looking at 31,000 cases simultaneously – the aggregate picture of how medications move through her plan. The financial scale of these decisions is unlike anything in clinical medicine. The human stakes are equally large, but they are invisible in this room unless someone in the room chooses to make them visible.</w:t>
            </w:r>
          </w:p>
        </w:tc>
      </w:tr>
    </w:tbl>
    <w:p>
      <w:pPr>
        <w:spacing w:after="80"/>
      </w:pPr>
      <w:r>
        <w:t xml:space="preserve"/>
      </w:r>
    </w:p>
    <w:p>
      <w:pPr>
        <w:pStyle w:val="Heading3"/>
        <w:spacing w:before="240" w:after="120"/>
      </w:pPr>
      <w:r>
        <w:rPr>
          <w:rFonts w:ascii="Arial" w:cs="Arial" w:eastAsia="Arial" w:hAnsi="Arial"/>
          <w:b/>
          <w:bCs/>
          <w:sz w:val="24"/>
          <w:szCs w:val="24"/>
        </w:rPr>
        <w:t xml:space="preserve">Moment 2: The Clinical Affairs Report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The plan’s Medical Director presents the clinical affairs report. Her finding: step therapy completion rates for biologics are high – but there is a subgroup where the standard pathway is producing poor outcomes. Patients with concurrent inflammatory eye disease – uveitis, iritis – are waiting an average of 4.2 months for biologic approval. Ophthalmology literature is clear: four months of untreated or inadequately treated HLA-B27 uveitis significantly increases the risk of structural eye damage and permanent vision loss.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Dana is hearing two things simultaneously: a 34% increase in biologic spend that the committee wants to slow, and clinical evidence that her current step therapy policy is causing preventable vision loss in a specific patient subgroup. What should she do?</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Maintain current step therapy requirements – exceptions create inconsistency and cost unpredictability</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Eliminate step therapy for all biologic indications – if the Medical Director says the policy is causing harm, remove it</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Build a targeted exception pathway for the specific clinical circumstances where step therapy carries documented patient safety risk, while maintaining the broader step therapy framework</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Dana does and why:</w:t>
            </w:r>
            <w:r>
              <w:rPr>
                <w:rFonts w:ascii="Arial" w:cs="Arial" w:eastAsia="Arial" w:hAnsi="Arial"/>
                <w:sz w:val="22"/>
                <w:szCs w:val="22"/>
              </w:rPr>
              <w:t xml:space="preserve"> She chooses C, and pushes for it over objections from the actuarial team. Dana’s core argument: the cost of a preventable vision loss claim – low vision devices, disability accommodation, lost productivity, long-term care – exceeds the cost of the biologic that would have prevented it. This is not altruism; it is a different financial model. She directs her team to draft clinical criteria for an expedited approval pathway for patients with concurrent active uveitis and inflammatory arthritis. The criteria Marcus will later implement come directly from this meeting.</w:t>
            </w:r>
          </w:p>
        </w:tc>
      </w:tr>
    </w:tbl>
    <w:p>
      <w:pPr>
        <w:spacing w:after="80"/>
      </w:pPr>
      <w:r>
        <w:t xml:space="preserve"/>
      </w:r>
    </w:p>
    <w:p>
      <w:pPr>
        <w:pStyle w:val="Heading3"/>
        <w:spacing w:before="240" w:after="120"/>
      </w:pPr>
      <w:r>
        <w:rPr>
          <w:rFonts w:ascii="Arial" w:cs="Arial" w:eastAsia="Arial" w:hAnsi="Arial"/>
          <w:b/>
          <w:bCs/>
          <w:sz w:val="24"/>
          <w:szCs w:val="24"/>
        </w:rPr>
        <w:t xml:space="preserve">Moment 3: The Downstream Effect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Four months later, Jordan’s rheumatologist submits a prior authorization request. Under the old criteria, Jordan would have needed a three-month documented NSAID trial first. Under the new expedited pathway Dana built, Jordan’s request is processed in seventy-two hours. He starts adalimumab before his second uveitis flare. Dana reviews the program’s first-quarter data: forty-seven expedited approvals in the uveitis-with-inflammatory-arthritis pathway, average approval time four days. She does not know Jordan’s name. He is one row in a spreadsheet she presents to a committee. His prognosis is better because of a decision she made before he was ever diagnosed.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did you get to this role? It doesn’t sound like a typical medical career.</w:t>
            </w:r>
          </w:p>
          <w:p>
            <w:pPr>
              <w:spacing w:after="180"/>
            </w:pPr>
            <w:r>
              <w:rPr>
                <w:rFonts w:ascii="Arial" w:cs="Arial" w:eastAsia="Arial" w:hAnsi="Arial"/>
                <w:sz w:val="22"/>
                <w:szCs w:val="22"/>
              </w:rPr>
              <w:t xml:space="preserve">I went to medical school, did a residency in internal medicine, and then realized that the decisions with the largest impact on patient populations weren’t being made at the bedside – they were being made in rooms like this one. I went back for an MBA and moved into health plan medical leadership. I want to be direct with you about something: this is not the career for someone who needs to see their impact in individual patient faces. Most days I will never know whether a decision I made helped or harmed a specific person. What I can see is the population-level data. If you need the clinical relationship to feel meaningful – and that is a completely legitimate need – this is probably not the right path. But if the scale of systems-level impact energizes you, if you find the intersection of clinical evidence, financial modeling, and policy genuinely fascinating, this work is extraordinary.</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is the ethical tension in your job? You’re controlling access to medications people need.</w:t>
            </w:r>
          </w:p>
          <w:p>
            <w:pPr>
              <w:spacing w:after="180"/>
            </w:pPr>
            <w:r>
              <w:rPr>
                <w:rFonts w:ascii="Arial" w:cs="Arial" w:eastAsia="Arial" w:hAnsi="Arial"/>
                <w:sz w:val="22"/>
                <w:szCs w:val="22"/>
              </w:rPr>
              <w:t xml:space="preserve">I appreciate that question because I think about it constantly. There is a genuine tension between fiduciary responsibility – managing the plan’s financial sustainability so it can cover everyone – and clinical responsibility to each individual member who needs access to expensive treatments. Prior authorization is often portrayed as pure cost obstruction. The reality is more complicated. Without cost management, premiums rise and employers drop coverage and more people become uninsured. The system is genuinely interconnected. That said, I also believe that policies which produce preventable harm – like the uveitis situation we just discussed – are not defensible, clinically or financially. My job is to hold both of those truths at the same time and design policies that don’t sacrifice individual patients for aggregate cost management. I don’t always get that balance right. When I don’t, people like Marcus find it in the data and bring it back to me.</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does a typical day look like for you?</w:t>
            </w:r>
          </w:p>
          <w:p>
            <w:pPr>
              <w:spacing w:after="180"/>
            </w:pPr>
            <w:r>
              <w:rPr>
                <w:rFonts w:ascii="Arial" w:cs="Arial" w:eastAsia="Arial" w:hAnsi="Arial"/>
                <w:sz w:val="22"/>
                <w:szCs w:val="22"/>
              </w:rPr>
              <w:t xml:space="preserve">No two days are the same, which is part of what I find energizing. A typical week involves reviewing clinical evidence updates and deciding whether our coverage criteria need to change based on new data; meeting with pharmaceutical companies who are negotiating rebate contracts; reviewing appeals data to identify systematic patterns that indicate our policies need revision; presenting to our board on pharmacy spend trends; and consulting with our clinical advisory committee of practicing physicians who advise us on policy development. I also do external stakeholder work – engaging with patient advocacy organizations, participating in industry policy discussions, and sometimes testifying before state regulatory bodies on proposed legislation affecting coverage requirements. The clinical background is essential. I would not be credible to our physicians, our contracting partners, or our regulators without it.</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Health Insurance Executive</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Typically an advanced degree in medicine (MD/DO), business (MBA), public health (MPH), or law (JD), often in combination. Many senior executives hold an MD/MBA or MD/MPH. Entry-level analyst roles are accessible with a bachelor’s or master’s degree.</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Insurance executives make coverage decisions that shape what millions of patients can access. The work is analytical, political, and ethical simultaneously. Dana’s decision in a boardroom three months before Jordan’s diagnosis was as consequential to his care as any clinical encounter.</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motivated by population-level impact, you can hold clinical and financial complexity together without collapsing one into the other, and you want a career in healthcare that operates at the scale of systems rather than individual encounters.</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16: BioPharma Executive</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Two years before Jordan’s diagnosis. Location: The patient access division of a large biopharmaceutical company. You are shadowing James Park, PharmD, MBA, Vice President of Patient Access and Market Strategy. His team is responsible for ensuring that patients who need their company’s flagship biologic – an anti-TNF agent used for inflammatory arthritis and uveitis – can actually get it and afford it.</w:t>
            </w:r>
          </w:p>
          <w:p>
            <w:pPr>
              <w:spacing w:after="180"/>
            </w:pPr>
            <w:r>
              <w:rPr>
                <w:rFonts w:ascii="Arial" w:cs="Arial" w:eastAsia="Arial" w:hAnsi="Arial"/>
                <w:sz w:val="22"/>
                <w:szCs w:val="22"/>
              </w:rPr>
              <w:t xml:space="preserve">James has just seen data that concerns him. His company’s patient assistance program, which provides free or reduced-cost medication to qualifying patients, is reaching only 23% of the patients who are likely eligible. The gap between eligibility and enrollment is large, and it is not random – it clusters in younger patients, first-time biologic users, and patients at smaller practices without dedicated prior authorization staff.</w:t>
            </w:r>
          </w:p>
        </w:tc>
      </w:tr>
    </w:tbl>
    <w:p>
      <w:pPr>
        <w:spacing w:after="80"/>
      </w:pPr>
      <w:r>
        <w:t xml:space="preserve"/>
      </w:r>
    </w:p>
    <w:p>
      <w:pPr>
        <w:pStyle w:val="Heading3"/>
        <w:spacing w:before="240" w:after="120"/>
      </w:pPr>
      <w:r>
        <w:rPr>
          <w:rFonts w:ascii="Arial" w:cs="Arial" w:eastAsia="Arial" w:hAnsi="Arial"/>
          <w:b/>
          <w:bCs/>
          <w:sz w:val="24"/>
          <w:szCs w:val="24"/>
        </w:rPr>
        <w:t xml:space="preserve">Moment 1: The Enrollment Gap</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James presents the enrollment data to his team. Slide one: estimated eligible patients, 84,000. Enrolled in the patient assistance program, 19,300. Slide two: average time from prescription to first dose for enrolled patients versus non-enrolled: 18 days versus 63 days. Slide three: the dropout rate between prescription and first dose for patients who don’t enroll: 31%.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BioPharma executives who work in patient access sit at the intersection of business strategy and patient outcomes. The enrollment gap James is looking at is not just a human problem – it is also a business problem. A patient who cannot access the medication does not become a long-term user, which affects revenue. In patient access roles, the financial and ethical incentives are unusually aligned: the company does better when patients can actually get the drug. That alignment is not universal in the pharmaceutical industry, but it is real in this function.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James wants to redesign the patient assistance program to close the enrollment gap. His team presents three options. Which should he pursue?</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Reduce documentation requirements – simplify the application so patients can self-enroll without physician office involvement</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Build a dedicated navigator team: trained specialists who proactively reach out to patients identified through the specialty pharmacy channel and guide them through enrollment</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Increase the income threshold for eligibility so more patients qualify, then run a broad awareness campaign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James does and why:</w:t>
            </w:r>
            <w:r>
              <w:rPr>
                <w:rFonts w:ascii="Arial" w:cs="Arial" w:eastAsia="Arial" w:hAnsi="Arial"/>
                <w:sz w:val="22"/>
                <w:szCs w:val="22"/>
              </w:rPr>
              <w:t xml:space="preserve"> He pursues B, and builds A partially into it. The data shows that the documentation barrier is real – small rheumatology practices without dedicated staff are the highest-dropout group. A navigator team that calls patients directly and handles the application process on their behalf addresses the actual point of failure. He also streamlines the application, but experience shows that awareness and eligibility are not the primary barriers – process burden is. He sets a metric: average time from prescription to first dose should fall below 10 days for enrolled patients within 18 months.</w:t>
            </w:r>
          </w:p>
        </w:tc>
      </w:tr>
    </w:tbl>
    <w:p>
      <w:pPr>
        <w:spacing w:after="80"/>
      </w:pPr>
      <w:r>
        <w:t xml:space="preserve"/>
      </w:r>
    </w:p>
    <w:p>
      <w:pPr>
        <w:pStyle w:val="Heading3"/>
        <w:spacing w:before="240" w:after="120"/>
      </w:pPr>
      <w:r>
        <w:rPr>
          <w:rFonts w:ascii="Arial" w:cs="Arial" w:eastAsia="Arial" w:hAnsi="Arial"/>
          <w:b/>
          <w:bCs/>
          <w:sz w:val="24"/>
          <w:szCs w:val="24"/>
        </w:rPr>
        <w:t xml:space="preserve">Moment 2: The Pipeline Question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The second half of James’s meeting shifts to pipeline strategy. A new IL-17 inhibitor in the company’s pipeline has just completed a Phase 3 trial in axial spondyloarthritis. The efficacy data is strong – potentially superior to the current anti-TNF agent in a subset of patients. James’s team is preparing the market access strategy: what payer criteria will need to change, what real-world evidence generation is needed, and how the patient assistance infrastructure will need to be adapted.</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A colleague raises the pricing question directly: ‘The Phase 3 data is stronger than the comparator. What’s our pricing assumption?’ James answers: ‘We’re modeling a 15–20% premium over the current standard of care, with rebate structures that bring net price in line with the anti-TNF agents for most payers. The clinical differentiation in the B27-predominant population has to be the core of the access 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Pharmaceutical pricing is one of the most contested ethical and political questions in American healthcare. BioPharma executives who work in market access are not making pricing decisions in isolation – they are navigating a complex landscape that includes payer negotiating power, competitive dynamics, regulatory requirements, research and development investment recovery, and genuine patient access considerations. The tension between maximizing return and maximizing access is real and does not resolve cleanly. James’s job requires holding that tension every day.</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The new IL-17 inhibitor has a cleaner efficacy profile for B27-positive patients than the current anti-TNF agent. But it will likely be priced higher, and payer step therapy requirements will initially require patients to fail the anti-TNF agent first before accessing it. This means some patients will go through an inferior therapy before reaching the one that’s better for them. What should James advocate for?</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Accept the standard step therapy framework – this is how market access works for all new biologics</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Negotiate with payers for position as a first-line agent for B27-positive patients from launch, supported by the Phase 3 subgroup data</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Launch without payer negotiation and rely on patient assistance programs to cover patients whose insurance won’t cover it at first line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James does and why:</w:t>
            </w:r>
            <w:r>
              <w:rPr>
                <w:rFonts w:ascii="Arial" w:cs="Arial" w:eastAsia="Arial" w:hAnsi="Arial"/>
                <w:sz w:val="22"/>
                <w:szCs w:val="22"/>
              </w:rPr>
              <w:t xml:space="preserve"> He pursues B, knowing it will be a slow and difficult negotiation for most payers. The Phase 3 subgroup data showing differential efficacy in B27-positive patients is the lever: it provides clinical justification for first-line positioning in a defined patient population, which is a stronger argument than general efficacy alone. He expects to achieve preferred access in a minority of plans in year one and broader access by year three as real-world evidence accumulates. In the meantime, the patient assistance program becomes the access bridge.</w:t>
            </w:r>
          </w:p>
        </w:tc>
      </w:tr>
    </w:tbl>
    <w:p>
      <w:pPr>
        <w:spacing w:after="80"/>
      </w:pPr>
      <w:r>
        <w:t xml:space="preserve"/>
      </w:r>
    </w:p>
    <w:p>
      <w:pPr>
        <w:pStyle w:val="Heading3"/>
        <w:spacing w:before="240" w:after="120"/>
      </w:pPr>
      <w:r>
        <w:rPr>
          <w:rFonts w:ascii="Arial" w:cs="Arial" w:eastAsia="Arial" w:hAnsi="Arial"/>
          <w:b/>
          <w:bCs/>
          <w:sz w:val="24"/>
          <w:szCs w:val="24"/>
        </w:rPr>
        <w:t xml:space="preserve">Moment 3: Jordan’s Path</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Two years later, Jordan’s social worker makes a call to the patient assistance program that James’s team rebuilt. The navigator who answers already has Jordan’s information from the specialty pharmacy. The enrollment process takes twelve minutes. The medication ships four days later. The prior authorization that Dana’s team approved three months earlier ensured that insurance would cover it. The patient assistance program fills the remaining gap. James will see Jordan’s case as one data point in a quarterly report: new enrollment, rheumatology indication, age 20, university health plan. Average time to first dose: 4 days. Program working as designed.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Is a career in pharma compatible with genuinely caring about patients? I’ve heard it’s just about profit.</w:t>
            </w:r>
          </w:p>
          <w:p>
            <w:pPr>
              <w:spacing w:after="180"/>
            </w:pPr>
            <w:r>
              <w:rPr>
                <w:rFonts w:ascii="Arial" w:cs="Arial" w:eastAsia="Arial" w:hAnsi="Arial"/>
                <w:sz w:val="22"/>
                <w:szCs w:val="22"/>
              </w:rPr>
              <w:t xml:space="preserve">I understand why people ask that, and I’d rather answer it honestly than defensively. There are parts of the pharmaceutical industry where the patient is genuinely secondary to financial return, and I won’t pretend otherwise. But there are also roles – like mine – where the work is directly about ensuring patient access, and where the financial and human incentives are genuinely aligned: a patient who can’t access the medication doesn’t benefit, doesn’t stay on therapy, and doesn’t generate long-term revenue. My team’s job is to close the gap between the medication existing and the patient receiving it. The navigator program, the prior authorization support tools, the patient assistance fund – all of that is real, it serves real patients, and it exists partly because of business logic and partly because people in this company believe patients should be able to access medications that can help them. Both of those things can be true simultaneously.</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What’s the path to an executive role in the pharmaceutical industry?</w:t>
            </w:r>
          </w:p>
          <w:p>
            <w:pPr>
              <w:spacing w:after="180"/>
            </w:pPr>
            <w:r>
              <w:rPr>
                <w:rFonts w:ascii="Arial" w:cs="Arial" w:eastAsia="Arial" w:hAnsi="Arial"/>
                <w:sz w:val="22"/>
                <w:szCs w:val="22"/>
              </w:rPr>
              <w:t xml:space="preserve">There are several routes in. My path was a PharmD followed by an MBA – the combination gave me clinical credibility with the medical teams and financial credibility with the business side. Other common paths include an MD or PhD with an MBA, or starting in a clinical or research role and building toward management. Many pharmaceutical executives started in sales or medical science liaison roles, which give deep exposure to how physicians actually think about prescribing decisions and what they need from industry partners. Others come in through market research, health economics, or regulatory affairs. What the executive level requires, regardless of path, is the ability to synthesize clinical, financial, regulatory, and strategic considerations simultaneously – and to make decisions under genuine uncertainty with significant downstream consequences.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does a day in your life actually look like?</w:t>
            </w:r>
          </w:p>
          <w:p>
            <w:pPr>
              <w:spacing w:after="180"/>
            </w:pPr>
            <w:r>
              <w:rPr>
                <w:rFonts w:ascii="Arial" w:cs="Arial" w:eastAsia="Arial" w:hAnsi="Arial"/>
                <w:sz w:val="22"/>
                <w:szCs w:val="22"/>
              </w:rPr>
              <w:t xml:space="preserve">A significant amount of my time is spent in strategic planning: what markets are we entering, what payer landscape are we preparing for, what does the evidence need to show to support the access story we’re trying to tell? I also spend time on the operational side – reviewing enrollment data for the patient assistance program, working with the specialty pharmacy network on distribution logistics, and managing our government pricing and contracting obligations. External engagement matters a lot: I meet regularly with payer medical directors, present at advisory boards, and engage with patient advocacy organizations to understand what’s actually happening to patients in the real world – because if we’re not hearing about the access failures, we can’t fix them. The thing I didn’t expect when I came into this role is how much of it is about policy: drug pricing legislation, formulary transparency requirements, step therapy reform bills. The regulatory and political environment shapes everything we do.</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Does pharmaceutical company involvement in Jordan’s care feel like a conflict of interest?</w:t>
            </w:r>
          </w:p>
          <w:p>
            <w:pPr>
              <w:spacing w:after="180"/>
            </w:pPr>
            <w:r>
              <w:rPr>
                <w:rFonts w:ascii="Arial" w:cs="Arial" w:eastAsia="Arial" w:hAnsi="Arial"/>
                <w:sz w:val="22"/>
                <w:szCs w:val="22"/>
              </w:rPr>
              <w:t xml:space="preserve">It is a tension worth naming clearly. My company has a financial interest in Jordan using our medication. The patient assistance program exists in part because it serves that interest. I don’t think that fact negates the program’s value to Jordan – he gets medication he otherwise might not be able to afford, regardless of our motivation. But it is different from the relationship between Jordan and his rheumatologist, whose financial interests are not tied to which specific medication he takes. The appropriate check on pharmaceutical industry involvement in patient care is transparency, competition, and independent clinical evidence. When those three things are working – when clinicians have access to unbiased evidence, when there are multiple competing options in a class, and when the industry is required to disclose relationships and pricing – the system can function well for patients. When those checks are absent, the conflicts become harmful. Knowing that distinction is part of navigating this industry with integrity.</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BioPharma Executive</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Typically an advanced clinical or scientific degree (PharmD, MD, PhD) combined with an MBA or equivalent business training. Entry-level industry roles in medical affairs, market research, or sales are accessible earlier in the training pathway.</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BioPharma executives shape whether medications reach patients and under what conditions. James’s work on patient access, pipeline strategy, and payer negotiation is invisible to Jordan – but it determines whether the medication his rheumatologist prescribed is available, affordable, and accessible.</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want to work in healthcare at the intersection of science, business, and policy; you can hold ethical complexity without either dismissing it or being paralyzed by it; and you are motivated by the scale of impact that comes from decisions affecting millions of patients, made from a room most of them will never see.</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spacing w:after="180"/>
      </w:pPr>
      <w:r>
        <w:rPr>
          <w:rFonts w:ascii="Arial" w:cs="Arial" w:eastAsia="Arial" w:hAnsi="Arial"/>
          <w:sz w:val="22"/>
          <w:szCs w:val="22"/>
        </w:rPr>
        <w:t xml:space="preserve">Students who complete one or more Tier Two tracks unlock this panel. It shows how each Tier Two professional connected to Jordan’s care – and what kind of thinking each role requires.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20"/>
        <w:gridCol w:w="2480"/>
        <w:gridCol w:w="2480"/>
        <w:gridCol w:w="2680"/>
      </w:tblGrid>
      <w:tr>
        <w:tc>
          <w:tcPr>
            <w:tcW w:type="dxa" w:w="172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Career</w:t>
            </w:r>
          </w:p>
        </w:tc>
        <w:tc>
          <w:tcPr>
            <w:tcW w:type="dxa" w:w="24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Connection to Jordan’s case</w:t>
            </w:r>
          </w:p>
        </w:tc>
        <w:tc>
          <w:tcPr>
            <w:tcW w:type="dxa" w:w="24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Key contribution</w:t>
            </w:r>
          </w:p>
        </w:tc>
        <w:tc>
          <w:tcPr>
            <w:tcW w:type="dxa" w:w="26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This career might be for you if…</w:t>
            </w:r>
          </w:p>
        </w:tc>
      </w:tr>
      <w:tr>
        <w:tc>
          <w:tcPr>
            <w:tcW w:type="dxa" w:w="172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Health Informatics Specialist</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Built the EHR alert that will catch the next patient like Jordan</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Turns individual cases into system-wide improvements</w:t>
            </w:r>
          </w:p>
        </w:tc>
        <w:tc>
          <w:tcPr>
            <w:tcW w:type="dxa" w:w="26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you think in systems and want your work to scale across thousands of encounters</w:t>
            </w:r>
          </w:p>
        </w:tc>
      </w:tr>
      <w:tr>
        <w:tc>
          <w:tcPr>
            <w:tcW w:type="dxa" w:w="172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Biotech Researcher</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Developed the HLA-B27 assay that returned Jordan’s result in four hours instead of five days</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Translates scientific discovery into clinical tools</w:t>
            </w:r>
          </w:p>
        </w:tc>
        <w:tc>
          <w:tcPr>
            <w:tcW w:type="dxa" w:w="26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you’re driven by scientific questions and comfortable with years of uncertainty before impact</w:t>
            </w:r>
          </w:p>
        </w:tc>
      </w:tr>
      <w:tr>
        <w:tc>
          <w:tcPr>
            <w:tcW w:type="dxa" w:w="172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Clinical Pharmacologist</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Advised on Jordan’s biologic selection, dosing, interactions, and monitoring</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Answers ‘how does this drug behave in this specific patient?’</w:t>
            </w:r>
          </w:p>
        </w:tc>
        <w:tc>
          <w:tcPr>
            <w:tcW w:type="dxa" w:w="26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you love pharmaceutical science applied to real clinical decisions</w:t>
            </w:r>
          </w:p>
        </w:tc>
      </w:tr>
      <w:tr>
        <w:tc>
          <w:tcPr>
            <w:tcW w:type="dxa" w:w="172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Medical Writer</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Wrote the patient guide Jordan reads at 11pm to understand his own diagnosis</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Translates clinical language into content that serves a specific audience</w:t>
            </w:r>
          </w:p>
        </w:tc>
        <w:tc>
          <w:tcPr>
            <w:tcW w:type="dxa" w:w="26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you love language and science equally and find clarity a form of care</w:t>
            </w:r>
          </w:p>
        </w:tc>
      </w:tr>
      <w:tr>
        <w:tc>
          <w:tcPr>
            <w:tcW w:type="dxa" w:w="172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Health Policy Analyst</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Redesigned the prior authorization criteria that govern whether Jordan’s biologic gets approved</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Writes the rules that determine who gets what care and when</w:t>
            </w:r>
          </w:p>
        </w:tc>
        <w:tc>
          <w:tcPr>
            <w:tcW w:type="dxa" w:w="26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you want systems-level impact and find the intersection of medicine and policy compelling</w:t>
            </w:r>
          </w:p>
        </w:tc>
      </w:tr>
      <w:tr>
        <w:tc>
          <w:tcPr>
            <w:tcW w:type="dxa" w:w="172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Public Health Administrator</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Identified the pattern of delayed uveitis diagnoses and led the system response</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Changes the processes all future patients will move through</w:t>
            </w:r>
          </w:p>
        </w:tc>
        <w:tc>
          <w:tcPr>
            <w:tcW w:type="dxa" w:w="26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you think in populations, want to lead organizations, and see prevention as the most powerful intervention</w:t>
            </w:r>
          </w:p>
        </w:tc>
      </w:tr>
      <w:tr>
        <w:tc>
          <w:tcPr>
            <w:tcW w:type="dxa" w:w="172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Health Care Manager</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Redesigned the urgent care rooming protocol that will standardize red eye assessment</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Builds the operational infrastructure within which clinical care happens</w:t>
            </w:r>
          </w:p>
        </w:tc>
        <w:tc>
          <w:tcPr>
            <w:tcW w:type="dxa" w:w="26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you want to lead healthcare organizations and find satisfaction in the conditions that make good care possible</w:t>
            </w:r>
          </w:p>
        </w:tc>
      </w:tr>
      <w:tr>
        <w:tc>
          <w:tcPr>
            <w:tcW w:type="dxa" w:w="172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Health Insurance Executive</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Built the expedited approval pathway that allowed Jordan’s biologic to be approved in 72 hours instead of months</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Designs the coverage criteria and access rules that determine what care is available to millions of members</w:t>
            </w:r>
          </w:p>
        </w:tc>
        <w:tc>
          <w:tcPr>
            <w:tcW w:type="dxa" w:w="26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you are motivated by population-level impact and can hold clinical and financial complexity together</w:t>
            </w:r>
          </w:p>
        </w:tc>
      </w:tr>
      <w:tr>
        <w:tc>
          <w:tcPr>
            <w:tcW w:type="dxa" w:w="172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BioPharma Executive</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Rebuilt the patient assistance program that Jordan’s social worker uses to make his medication affordable</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Makes the strategic decisions about pipeline, pricing, and patient access that determine whether medications reach the people who need them</w:t>
            </w:r>
          </w:p>
        </w:tc>
        <w:tc>
          <w:tcPr>
            <w:tcW w:type="dxa" w:w="26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you want a career at the intersection of science, business, and policy, and can hold ethical complexity without being paralyzed by it</w:t>
            </w:r>
          </w:p>
        </w:tc>
      </w:tr>
    </w:tbl>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Reflection Prompts for Students</w:t>
      </w:r>
    </w:p>
    <w:p>
      <w:pPr>
        <w:spacing w:after="180"/>
      </w:pPr>
      <w:r>
        <w:rPr>
          <w:rFonts w:ascii="Arial" w:cs="Arial" w:eastAsia="Arial" w:hAnsi="Arial"/>
          <w:sz w:val="22"/>
          <w:szCs w:val="22"/>
        </w:rPr>
        <w:t xml:space="preserve">These prompts can be used to structure the in-person mentor session that follows. Prompts in the first section apply across all fourteen tracks. The second section focuses specifically on Tier Two.</w:t>
      </w:r>
    </w:p>
    <w:p>
      <w:pPr>
        <w:spacing w:after="80"/>
      </w:pPr>
      <w:r>
        <w:t xml:space="preserve"/>
      </w:r>
    </w:p>
    <w:p>
      <w:pPr>
        <w:pStyle w:val="Heading2"/>
        <w:spacing w:before="360" w:after="180"/>
      </w:pPr>
      <w:r>
        <w:rPr>
          <w:rFonts w:ascii="Arial" w:cs="Arial" w:eastAsia="Arial" w:hAnsi="Arial"/>
          <w:b/>
          <w:bCs/>
          <w:color w:val="2E75B6"/>
          <w:sz w:val="28"/>
          <w:szCs w:val="28"/>
        </w:rPr>
        <w:t xml:space="preserve">Across All Tracks</w:t>
      </w:r>
    </w:p>
    <w:p>
      <w:pPr>
        <w:pStyle w:val="ListParagraph"/>
        <w:numPr>
          <w:ilvl w:val="0"/>
          <w:numId w:val="2"/>
        </w:numPr>
        <w:spacing w:after="140"/>
      </w:pPr>
      <w:r>
        <w:rPr>
          <w:rFonts w:ascii="Arial" w:cs="Arial" w:eastAsia="Arial" w:hAnsi="Arial"/>
          <w:sz w:val="22"/>
          <w:szCs w:val="22"/>
        </w:rPr>
        <w:t xml:space="preserve">Which clinician’s encounter did you find most surprising? What did you expect versus what you saw?</w:t>
      </w:r>
    </w:p>
    <w:p>
      <w:pPr>
        <w:pStyle w:val="ListParagraph"/>
        <w:numPr>
          <w:ilvl w:val="0"/>
          <w:numId w:val="2"/>
        </w:numPr>
        <w:spacing w:after="140"/>
      </w:pPr>
      <w:r>
        <w:rPr>
          <w:rFonts w:ascii="Arial" w:cs="Arial" w:eastAsia="Arial" w:hAnsi="Arial"/>
          <w:sz w:val="22"/>
          <w:szCs w:val="22"/>
        </w:rPr>
        <w:t xml:space="preserve">Each clinician spent different amounts of time with Jordan. Does more time mean more impact? Use the comparison panels to make your case.</w:t>
      </w:r>
    </w:p>
    <w:p>
      <w:pPr>
        <w:pStyle w:val="ListParagraph"/>
        <w:numPr>
          <w:ilvl w:val="0"/>
          <w:numId w:val="2"/>
        </w:numPr>
        <w:spacing w:after="140"/>
      </w:pPr>
      <w:r>
        <w:rPr>
          <w:rFonts w:ascii="Arial" w:cs="Arial" w:eastAsia="Arial" w:hAnsi="Arial"/>
          <w:sz w:val="22"/>
          <w:szCs w:val="22"/>
        </w:rPr>
        <w:t xml:space="preserve">Raj’s interaction lasted two minutes. Diego’s lasted eighteen. Dr. Patel’s lasted twenty-two. Devon’s lasted twelve. Yet all four contributed something Jordan could not have gotten anywhere else. What does that tell you about how healthcare actually works?</w:t>
      </w:r>
    </w:p>
    <w:p>
      <w:pPr>
        <w:pStyle w:val="ListParagraph"/>
        <w:numPr>
          <w:ilvl w:val="0"/>
          <w:numId w:val="2"/>
        </w:numPr>
        <w:spacing w:after="140"/>
      </w:pPr>
      <w:r>
        <w:rPr>
          <w:rFonts w:ascii="Arial" w:cs="Arial" w:eastAsia="Arial" w:hAnsi="Arial"/>
          <w:sz w:val="22"/>
          <w:szCs w:val="22"/>
        </w:rPr>
        <w:t xml:space="preserve">Which clinician’s way of thinking appeals to you most? Not just their job title – the actual way they approached Jordan, the questions they asked, the decisions they made.</w:t>
      </w:r>
    </w:p>
    <w:p>
      <w:pPr>
        <w:pStyle w:val="ListParagraph"/>
        <w:numPr>
          <w:ilvl w:val="0"/>
          <w:numId w:val="2"/>
        </w:numPr>
        <w:spacing w:after="140"/>
      </w:pPr>
      <w:r>
        <w:rPr>
          <w:rFonts w:ascii="Arial" w:cs="Arial" w:eastAsia="Arial" w:hAnsi="Arial"/>
          <w:sz w:val="22"/>
          <w:szCs w:val="22"/>
        </w:rPr>
        <w:t xml:space="preserve">If you could shadow one of these providers for a full day – not just one encounter – which would you choose and why?</w:t>
      </w:r>
    </w:p>
    <w:p>
      <w:pPr>
        <w:pStyle w:val="ListParagraph"/>
        <w:numPr>
          <w:ilvl w:val="0"/>
          <w:numId w:val="2"/>
        </w:numPr>
        <w:spacing w:after="140"/>
      </w:pPr>
      <w:r>
        <w:rPr>
          <w:rFonts w:ascii="Arial" w:cs="Arial" w:eastAsia="Arial" w:hAnsi="Arial"/>
          <w:sz w:val="22"/>
          <w:szCs w:val="22"/>
        </w:rPr>
        <w:t xml:space="preserve">Jordan’s care involved fourteen different professionals in the shadow tracks alone, and at least ten more in his extended care team. Most of them never met each other. What has to be true about a healthcare system for all of that to work together?</w:t>
      </w:r>
    </w:p>
    <w:p>
      <w:pPr>
        <w:spacing w:after="80"/>
      </w:pPr>
      <w:r>
        <w:t xml:space="preserve"/>
      </w:r>
    </w:p>
    <w:p>
      <w:pPr>
        <w:pStyle w:val="Heading2"/>
        <w:spacing w:before="360" w:after="180"/>
      </w:pPr>
      <w:r>
        <w:rPr>
          <w:rFonts w:ascii="Arial" w:cs="Arial" w:eastAsia="Arial" w:hAnsi="Arial"/>
          <w:b/>
          <w:bCs/>
          <w:color w:val="2E75B6"/>
          <w:sz w:val="28"/>
          <w:szCs w:val="28"/>
        </w:rPr>
        <w:t xml:space="preserve">Tier Two Tracks</w:t>
      </w:r>
    </w:p>
    <w:p>
      <w:pPr>
        <w:pStyle w:val="ListParagraph"/>
        <w:numPr>
          <w:ilvl w:val="0"/>
          <w:numId w:val="2"/>
        </w:numPr>
        <w:spacing w:after="140"/>
      </w:pPr>
      <w:r>
        <w:rPr>
          <w:rFonts w:ascii="Arial" w:cs="Arial" w:eastAsia="Arial" w:hAnsi="Arial"/>
          <w:sz w:val="22"/>
          <w:szCs w:val="22"/>
        </w:rPr>
        <w:t xml:space="preserve">None of the Tier Two providers had a two-minute conversation with Jordan the way Raj did. Most of them never met Jordan at all. Does that make their contributions more or less significant? How do you measure impact when you can’t measure it in conversations?</w:t>
      </w:r>
    </w:p>
    <w:p>
      <w:pPr>
        <w:pStyle w:val="ListParagraph"/>
        <w:numPr>
          <w:ilvl w:val="0"/>
          <w:numId w:val="2"/>
        </w:numPr>
        <w:spacing w:after="140"/>
      </w:pPr>
      <w:r>
        <w:rPr>
          <w:rFonts w:ascii="Arial" w:cs="Arial" w:eastAsia="Arial" w:hAnsi="Arial"/>
          <w:sz w:val="22"/>
          <w:szCs w:val="22"/>
        </w:rPr>
        <w:t xml:space="preserve">The health informatics specialist, the public health administrator, and the health care manager all responded to patterns in data – not individual patients. What is gained when you zoom out to that level? What is lost?</w:t>
      </w:r>
    </w:p>
    <w:p>
      <w:pPr>
        <w:pStyle w:val="ListParagraph"/>
        <w:numPr>
          <w:ilvl w:val="0"/>
          <w:numId w:val="2"/>
        </w:numPr>
        <w:spacing w:after="140"/>
      </w:pPr>
      <w:r>
        <w:rPr>
          <w:rFonts w:ascii="Arial" w:cs="Arial" w:eastAsia="Arial" w:hAnsi="Arial"/>
          <w:sz w:val="22"/>
          <w:szCs w:val="22"/>
        </w:rPr>
        <w:t xml:space="preserve">The biotech researcher and the clinical pharmacologist both needed deep scientific training to do their jobs. But their work looks completely different. What is the difference between working in science to produce knowledge and working in science to change clinical practice?</w:t>
      </w:r>
    </w:p>
    <w:p>
      <w:pPr>
        <w:pStyle w:val="ListParagraph"/>
        <w:numPr>
          <w:ilvl w:val="0"/>
          <w:numId w:val="2"/>
        </w:numPr>
        <w:spacing w:after="140"/>
      </w:pPr>
      <w:r>
        <w:rPr>
          <w:rFonts w:ascii="Arial" w:cs="Arial" w:eastAsia="Arial" w:hAnsi="Arial"/>
          <w:sz w:val="22"/>
          <w:szCs w:val="22"/>
        </w:rPr>
        <w:t xml:space="preserve">The medical writer’s job is to make science legible to patients. The health policy analyst’s job is to make clinical evidence legible to decision-makers. Are those the same skill in different contexts, or fundamentally different disciplines?</w:t>
      </w:r>
    </w:p>
    <w:p>
      <w:pPr>
        <w:pStyle w:val="ListParagraph"/>
        <w:numPr>
          <w:ilvl w:val="0"/>
          <w:numId w:val="2"/>
        </w:numPr>
        <w:spacing w:after="140"/>
      </w:pPr>
      <w:r>
        <w:rPr>
          <w:rFonts w:ascii="Arial" w:cs="Arial" w:eastAsia="Arial" w:hAnsi="Arial"/>
          <w:sz w:val="22"/>
          <w:szCs w:val="22"/>
        </w:rPr>
        <w:t xml:space="preserve">The insurance executive and the BioPharma executive both made decisions that shaped Jordan’s access to medication – from opposite sides of the same transaction. What do those two roles share? Where do their incentives diverge?</w:t>
      </w:r>
    </w:p>
    <w:p>
      <w:pPr>
        <w:pStyle w:val="ListParagraph"/>
        <w:numPr>
          <w:ilvl w:val="0"/>
          <w:numId w:val="2"/>
        </w:numPr>
        <w:spacing w:after="140"/>
      </w:pPr>
      <w:r>
        <w:rPr>
          <w:rFonts w:ascii="Arial" w:cs="Arial" w:eastAsia="Arial" w:hAnsi="Arial"/>
          <w:sz w:val="22"/>
          <w:szCs w:val="22"/>
        </w:rPr>
        <w:t xml:space="preserve">If you completed both Tier One and Tier Two tracks, which clinician’s way of thinking felt most natural to you? Not the job you think you should want – the way of seeing the problem that felt most like the way your mind already works.</w:t>
      </w:r>
    </w:p>
    <w:p>
      <w:pPr>
        <w:spacing w:after="80"/>
      </w:pPr>
      <w:r>
        <w:t xml:space="preserve"/>
      </w:r>
    </w:p>
    <w:p>
      <w:pPr>
        <w:pStyle w:val="Heading2"/>
        <w:spacing w:before="360" w:after="180"/>
      </w:pPr>
      <w:r>
        <w:rPr>
          <w:rFonts w:ascii="Arial" w:cs="Arial" w:eastAsia="Arial" w:hAnsi="Arial"/>
          <w:b/>
          <w:bCs/>
          <w:color w:val="2E75B6"/>
          <w:sz w:val="28"/>
          <w:szCs w:val="28"/>
        </w:rPr>
        <w:t xml:space="preserve">Using This Case Before the Mentor Session</w:t>
      </w:r>
    </w:p>
    <w:p>
      <w:pPr>
        <w:spacing w:after="180"/>
      </w:pPr>
      <w:r>
        <w:rPr>
          <w:rFonts w:ascii="Arial" w:cs="Arial" w:eastAsia="Arial" w:hAnsi="Arial"/>
          <w:sz w:val="22"/>
          <w:szCs w:val="22"/>
        </w:rPr>
        <w:t xml:space="preserve">This case is designed to do specific preparation work before students meet their mentors in person. A student who has shadowed the pharmacist track arrives at a conversation with a pharmacist already knowing what a counter consultation looks like, what Raj was thinking when he put the Visine down, and what questions they want to ask that the platform could not answer.</w:t>
      </w:r>
    </w:p>
    <w:p>
      <w:pPr>
        <w:spacing w:after="180"/>
      </w:pPr>
      <w:r>
        <w:rPr>
          <w:rFonts w:ascii="Arial" w:cs="Arial" w:eastAsia="Arial" w:hAnsi="Arial"/>
          <w:sz w:val="22"/>
          <w:szCs w:val="22"/>
        </w:rPr>
        <w:t xml:space="preserve">Suggested pre-session assignment: complete at least two shadow tracks – ideally one from each tier – before the mentor session, then write two or three questions you want to bring to your mentor that came directly from the shadow experience. The platform’s reflection prompts can scaffold this.</w:t>
      </w:r>
    </w:p>
    <w:p>
      <w:pPr>
        <w:spacing w:after="180"/>
      </w:pPr>
      <w:r>
        <w:rPr>
          <w:rFonts w:ascii="Arial" w:cs="Arial" w:eastAsia="Arial" w:hAnsi="Arial"/>
          <w:sz w:val="22"/>
          <w:szCs w:val="22"/>
        </w:rPr>
        <w:t xml:space="preserve">The goal is not that students arrive knowing the answers. It is that they arrive with better questions than they would have had otherwise.</w:t>
      </w:r>
    </w:p>
    <w:p>
      <w:pPr>
        <w:spacing w:after="80"/>
      </w:pPr>
      <w:r>
        <w:t xml:space="preserve"/>
      </w:r>
    </w:p>
    <w:p>
      <w:r>
        <w:br w:type="page"/>
      </w:r>
    </w:p>
    <w:p>
      <w:pPr>
        <w:spacing w:after="120"/>
      </w:pPr>
      <w:r>
        <w:rPr>
          <w:rFonts w:ascii="Arial" w:cs="Arial" w:eastAsia="Arial" w:hAnsi="Arial"/>
          <w:b/>
          <w:bCs/>
          <w:caps/>
          <w:color w:val="888888"/>
          <w:sz w:val="18"/>
          <w:szCs w:val="18"/>
        </w:rPr>
        <w:t xml:space="preserve">Part Three</w:t>
      </w:r>
    </w:p>
    <w:p>
      <w:pPr>
        <w:pStyle w:val="Heading1"/>
        <w:spacing w:before="480" w:after="240"/>
      </w:pPr>
      <w:r>
        <w:rPr>
          <w:rFonts w:ascii="Arial" w:cs="Arial" w:eastAsia="Arial" w:hAnsi="Arial"/>
          <w:b/>
          <w:bCs/>
          <w:color w:val="1F3864"/>
          <w:sz w:val="32"/>
          <w:szCs w:val="32"/>
        </w:rPr>
        <w:t xml:space="preserve">Career Snapshot Cards</w:t>
      </w:r>
    </w:p>
    <w:p>
      <w:pPr>
        <w:spacing w:after="180"/>
      </w:pPr>
      <w:r>
        <w:rPr>
          <w:rFonts w:ascii="Arial" w:cs="Arial" w:eastAsia="Arial" w:hAnsi="Arial"/>
          <w:sz w:val="22"/>
          <w:szCs w:val="22"/>
        </w:rPr>
        <w:t xml:space="preserve">The following cards provide structured career information for all 23 healthcare careers that appear in Jordan’s case. On the Compass Cases platform, these cards appear at the end of each career encounter as a printable or downloadable reference. They are also used to populate the Career Compass matching engine.</w:t>
      </w:r>
    </w:p>
    <w:p>
      <w:pPr>
        <w:pBdr>
          <w:bottom w:val="single" w:color="2E75B6" w:sz="6" w:space="1"/>
        </w:pBdr>
        <w:spacing w:before="0" w:after="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Emergency Medical Technician (EMT)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EMT-Basic: approximately 6-month certificate program. Paramedic: 1–2-year associate degree or certificate. National Registry exam required for certification.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NREMT certification required nationally; state licensure varies. Continuing education required for recertification every 2 years.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EMT: $35,000–$50,000 / yr. Paramedic: $45,000–$70,000 / yr. Range varies by region and setting (urban EMS vs. fire-based).</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Respond to emergency calls (cardiac events, trauma, strokes, psychiatric crises). Assess and stabilize patients on scene. Transport to appropriate facility while monitoring vitals. Document care and hand off to ED team. Standby at events or in community settings.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In Jordan’s case, the EMT performed the first systematic assessment – vital signs, pupil check, pain score – and made the critical judgment call to advise urgent evaluation rather than a routine appointment. A sluggish left pupil and photophobia together are red flags an EMT is trained to recognize.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Rapid assessment under pressure. Airway and circulation management. Patient communication in stressful moments. Clinical documentation. Team coordination with hospital staff.</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thrive in fast-moving, unpredictable situations. You want to be a first responder who makes immediate, life-affecting decisions. You’re drawn to action and don’t mind physical demands. You want to enter healthcare quickly and can see this as either a career or a stepping stone.</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Medical Assistant (MA)</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Certificate or associate degree program: 1–2 years. Programs available at community colleges and vocational schools. Some employers train on the job. National certification (CMA, RMA) preferred.</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Certification through AAMA (CMA) or AMT (RMA). Not required in all states but strongly preferred by employers.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$35,000–$48,000 / yr nationally. Higher in specialty practices (ophthalmology, rheumatology) and high cost-of-living areas.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Room patients and take vitals. Reconcile medication lists and update records. Prepare exam rooms and assist with procedures. Process referrals and prior authorizations. Educate patients on next steps after the visit. Serve as the communication bridge between patient and clinician.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In every one of Jordan’s clinic visits – urgent care, rheumatology, ophthalmology – a Medical Assistant was the first person he spoke with. They established his vitals, updated his medication list, and made him feel comfortable before the clinician entered the room. The role is often underestimated but is indispensable to clinical flow.</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Clinical procedures (phlebotomy, EKG, injections). Electronic health record management. Patient communication and education. Multi-tasking in a fast-paced environment. Insurance and billing basics.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want direct patient contact every day. You prefer a clear, structured role with defined responsibilities. You want to enter healthcare with a short training investment and build experience before potentially advancing. You’re organized, warm, and detail-oriented.</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Pharmacy Technician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Certificate program: 6 months to 1 year. Associate degree programs (2 years) also available. On-the-job training at many pharmacies. PTCB or ExCPT national certification exam required by most employers.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PTCB Certified Pharmacy Technician (CPhT) certification is the national standard. State registration or licensure required in most states.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$32,000–$48,000 / yr. Specialty pharmacy and hospital settings pay more. Advancement to senior tech or pharmacy coordinator roles increases earnings.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Process and fill prescriptions under pharmacist supervision. Manage prior authorizations for specialty medications. Answer phones and resolve insurance issues. Prepare IV medications and chemotherapy in hospital settings. Verify patient information and allergy records. Maintain inventory and controlled substance logs.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When Jordan’s rheumatologist prescribed a biologic medication, the pharmacy technician navigated the prior authorization process – a multi-step insurance approval that can take days and requires detailed clinical documentation. Without this, the medication would never reach Jordan.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Pharmacology basics. Insurance billing and claims processing. Medication preparation and compounding. Electronic pharmacy systems. Patient communication and problem-solving.</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You’re interested in healthcare and medications but prefer a technical, systems-oriented role over direct clinical care. You’re organized and precise. You want a career that’s accessible and doesn’t require years of school. You may see this as a long-term career or as a foundation toward becoming a pharmacist.</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Optician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Diploma, certificate, or associate degree: 1–2 years. Programs at community and vocational colleges. American Board of Opticianry (ABO) national certification exam widely required.</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ABO certification required in about 20 states. Additional NCLE certification for contact lens fitting. Some states require licensure; others are voluntary-certification states.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$38,000–$58,000 / yr. Optical shop managers, licensed opticians in specialty practices, and those in high cost-of-living markets earn more.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Review eyeglass and contact lens prescriptions from ODs and ophthalmologists. Take precise facial measurements (pupillary distance, vertex distance). Help patients select frames and lens options. Order lenses and verify accuracy when they arrive. Adjust and fit completed eyewear. Troubleshoot fit and comfort issues.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Jordan had never been diagnosed with myopia – he had been squinting through his college lectures for a year without realizing it was a vision problem. The optician turned the optometrist’s refraction into real eyewear: measuring Jordan’s face, helping him choose the right lenses (anti-reflective, photochromic for his light-sensitivity history), and fitting them precisely. This is the hands-on craftsmanship arm of eye care.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Optical physics and lens design. Frame and lens materials knowledge. Precision measuring instruments (lensometer, pupillometer). Customer communication and aesthetic judgment. Business operations in retail optical settings.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You’re drawn to the craftsmanship and technical precision of healthcare – fitting something exactly right for a specific person. You like working with your hands and have an aesthetic sensibility. You want to help people without the long training of a clinical doctorate. You enjoy the intersection of healthcare and retail.</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Radiologic Technologist (RT)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Associate degree: 2 years (most common entry pathway). Bachelor’s programs also available (4 years). ARRT certification exam required after accredited program completion. Specialty certifications available in MRI, CT, mammography.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ARRT certification is the national standard. State licensure required in most states. Continuing education required for renewal.</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$55,000–$80,000 / yr for general RT. MRI and CT specialists earn $65,000–$95,000+. Travel RTs can earn significantly more.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Review imaging orders and patient history before each scan. Position patients carefully for optimal image quality. Operate X-ray, CT, MRI, or fluoroscopy equipment. Minimize radiation exposure through proper technique and shielding. Transmit images to radiologist and document findings. Monitor patients for contrast reactions or anxiety during procedures.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Jordan needed sacroiliac joint X-rays to evaluate his back pain and possible ankylosing spondylitis. The radiologic technologist positioned him precisely, selected the correct technique, and produced images sharp enough for the radiologist to detect subtle early SI joint sclerosis. The quality of the images directly determined whether the diagnosis was made.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Anatomy and patient positioning. Radiation physics and safety. Medical imaging technology operation. Patient communication during procedures. Image quality assessment.</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love technology and hands-on precision work. You want direct patient contact without the long training of a physician. You find anatomy and the hidden structures inside the body fascinating. You’re methodical, detail-oriented, and care about technical excellence.</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Medical Lab Scientist (MLS)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Bachelor’s degree in Medical Laboratory Science or related field: 4 years. Clinical rotation in accredited hospital lab required. ASCP Board of Certification exam (MLS).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ASCP MLS(ASCP) certification is the national standard. Some states require additional licensure.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$55,000–$80,000 / yr. Supervisory and reference lab roles earn more. Specialties like molecular pathology command premium pay.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Perform complex laboratory tests: hematology, chemistry, microbiology, immunology, blood bank. Analyze results for accuracy and flag abnormal values. Operate and maintain sophisticated analyzers. Troubleshoot test failures and quality control issues. Consult with clinical teams on result interpretation. Supervise MLTs and trainees.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The HLA-B27 test that revealed Jordan’s underlying genetic susceptibility was performed by a Medical Lab Scientist using either flow cytometry or PCR-based molecular testing. This was not a simple test – it required expertise in immunology and molecular science. Without this result, the connection between Jordan’s eye disease and his back pain might have taken months or years to make.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Clinical chemistry, hematology, microbiology, immunology techniques. Quality control and laboratory management. Critical thinking and analytical problem-solving. Molecular diagnostics and emerging technologies. Collaboration with clinical teams.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love science and the idea of being the person who finds the answer in the data. You prefer working behind the scenes with equipment and analytical results rather than direct patient care. You’re precise, methodical, and curious. You want a healthcare career rooted in science.</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Registered Nurse (RN)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Associate Degree in Nursing (ADN): 2–3 years. Bachelor of Science in Nursing (BSN): 4 years (strongly preferred for hospital practice). NCLEX-RN national licensure exam required.</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NCLEX-RN required for licensure in all US states. Specialty certifications available (OCN, CCRN, CEN, etc.). Many states require CE for renewal.</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$60,000–$120,000+ / yr depending on specialty, setting, and geography. ICU, OR, and CRNA pathways command premium salaries. Travel nursing: $80,000–$150,000+.</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Assess patients at the start of each shift and monitor for changes. Administer medications and manage IV lines. Coordinate care between physicians, therapists, and families. Educate patients on their diagnoses and medications. Respond to deteriorating patients and activate rapid response when needed. Advocate for patients when clinical decisions feel wrong.</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When Jordan’s AS progressed to requiring biologic infusion therapy, an RN administered his infusion, monitored him for infusion reactions (which can include anaphylaxis), educated him about side effects to watch for, and became his consistent clinical contact across a treatment he’ll receive indefinitely. The RN also coordinates Jordan’s care across all his specialists.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Clinical assessment and critical thinking. Medication administration and IV therapy. Patient education and therapeutic communication. Care coordination and documentation. Emergency response and rapid deterioration recognition.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want to be central to patient care – at the bedside for the most important moments. You’re drawn to both the science and the human relationship side of healthcare. You can handle emotional complexity and uncertainty. You’re looking for a career with extraordinary scope: RNs work in every setting from ICU to schools to space medicine.</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Genetic Counselor</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Master’s degree in Genetic Counseling: 2 years post-bachelor’s. Programs require undergraduate science foundation (genetics, biology, biochemistry). Accredited programs are competitive. ABGC board certification exam required.</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ABGC board certification required for most positions. Some states require licensure. CGC (Certified Genetic Counselor) is the standard credential.</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$75,000–$110,000 / yr. Specialty areas (oncology, prenatal, rare disease) at major academic centers command higher salaries.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Review family and medical histories to assess genetic risk. Explain complex genetic test results in plain language. Support patients in making decisions about testing and disclosure to relatives. Coordinate genetic testing and interpret results. Work with medical teams to incorporate genetic findings into care. Navigate ethical questions around genetic information.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After Jordan’s HLA-B27 positive test, he began wondering: could his children inherit this? Would his younger sister be at risk? The genetic counselor explained that HLA-B27 is not destiny – about 8% of the general population carries it, but only a fraction develop AS. This nuanced conversation about penetrance, expressivity, and family disclosure required exactly the skills genetic counselors are trained to deliver.</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Genetics and genomics. Risk communication and probability explanation. Psychological support and motivational interviewing. Medical ethics. Pedigree analysis and family history assessment.</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You’re scientifically rigorous and love genetics, but your deepest strength is communicating complex information compassionately. You want a clinical role that is intensely relationship-focused. You’re comfortable sitting with uncertainty and ethical complexity. You want a master’s-level clinical career in a rapidly growing, high-impact field.</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Social Worker (MSW / LCSW)</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Bachelor of Social Work (BSW): 4 years – entry level. Master of Social Work (MSW): 2 additional years – required for clinical roles. Licensed Clinical Social Worker (LCSW): MSW plus 2–3 years supervised clinical hours and state board exam.</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LCSW (or LMSW) required for clinical practice. Requirements vary by state. Continuing education required for license renewal.</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Medical social workers: $55,000–$80,000 / yr. LCSWs in private practice or leadership roles: $70,000–$110,000+.</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Conduct biopsychosocial assessments to understand a patient’s full life situation. Connect patients with community resources (housing, food, transportation, insurance). Provide counseling around adjustment to illness, grief, and coping. Navigate insurance, disability, and entitlement programs. Facilitate family meetings during difficult clinical decisions. Serve as patient advocate when systems create barriers.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When Jordan received his AS diagnosis, he was a 20-year-old college student who hadn’t told his parents, was scared about what this meant for his future, and was just beginning to realize some of his medications might cost thousands of dollars per month. The social worker addressed all of this – linking him to university disability services, helping file for pharmaceutical patient assistance programs, and providing counseling to help him process a new chronic diagnosis.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Motivational interviewing and therapeutic counseling. Systems navigation (insurance, community resources). Crisis intervention. Cultural humility and trauma-informed care. Interprofessional collaboration.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believe that healthcare must address the full person – their housing, relationships, fears, and life circumstances – not just their diagnosis. You want a career at the intersection of medicine and social justice. You can hold space for profound emotional pain without flinching. You’re a natural advocate.</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Physician Assistant (PA)</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Master’s degree (typically MMS or MPAS): 2.5–3 years. Prerequisites: approximately 3 years of undergraduate science courses plus clinical experience. PA programs are highly competitive.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PANCE national certification exam required after graduation. State licensure required in all 50 states. Recertification every 10 years (PANRE). CME required annually.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$105,000–$145,000 / yr nationally. Surgical subspecialties (orthopedics, neurosurgery, cardiothoracic) command highest salaries. Significant variation by geography.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Obtain complete histories and perform physical exams. Order and interpret diagnostic tests (labs, imaging). Diagnose and manage acute and chronic conditions. Prescribe medications. Perform procedures (suturing, joint injections, biopsies). Counsel patients on treatment options. Collaborate with supervising physicians on complex cases. May cover first call in inpatient settings.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In Jordan’s case, the clinician at urgent care took his complete history, performed a targeted physical exam that revealed both the eye findings and the overlooked back pain, ordered the HLA-B27 lab, and made the correct referral decision – all independently. The PA is the clinician who can function across specialties, seeing the whole patient with the same diagnostic rigor as a physician.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Clinical reasoning and differential diagnosis. History-taking and physical examination. Procedural skills. Prescribing and pharmacology. Collaborative practice with physicians. Patient communication and education.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want the clinical depth and authority of a physician-level clinician without the length of medical school and residency. You’re adaptable – PAs can switch specialties without retraining. You value team-based practice and collaborative decision-making. You want to diagnose, treat, and build lasting relationships with patients.</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Nurse Practitioner (NP)</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BSN required first (4 years), then Master of Science in Nursing (MSN) or DNP: 2–4 additional years. Specialty tracks: FNP, AGACNP, NNP, PMHNP, etc. National certification exam required in specialty area.</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ANCC or AANP national board certification. State licensure required. Full practice authority in approximately 26 states. Prescriptive authority in all 50 states.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$95,000–$135,000 / yr nationally. Psychiatric, acute care, and anesthesia NPs earn more. Full practice states tend to pay higher.</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Assess, diagnose, and manage patients with acute and chronic conditions. Prescribe medications and order and interpret diagnostic tests. Manage patient panels independently (in full-practice states) or collaboratively. Educate patients deeply on self-management and disease prevention. Conduct telehealth visits. Mentor and precept nursing staff.</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As Jordan begins his long-term care for ankylosing spondylitis, his rheumatology NP becomes his primary point of contact for routine monitoring visits – checking inflammatory markers, adjusting NSAID doses, reviewing side effects, and determining when the rheumatologist needs to be directly involved. The NP brings both the nursing philosophy of holistic care and the clinical authority to manage his chronic condition.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Advanced physical assessment. Clinical prescribing and pharmacology. Chronic disease management. Patient-centered counseling. Leadership within nursing teams. Health systems advocacy.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have a foundation in nursing and want to grow into a clinical leadership role. You’re drawn to long-term therapeutic relationships with patients. Your philosophy of care emphasizes prevention, education, and holistic health. You want clinical autonomy and are comfortable with independent decision-making.</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Physical Therapist (PT)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Doctor of Physical Therapy (DPT): 3 years post-bachelor’s (7 years total). Prerequisites: substantial undergraduate science coursework. Clinical rotations in multiple settings required during DPT. NPTE national licensure exam required.</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NPTE required for licensure in all states. Specialty certifications available (OCS, NCS, SCS, GCS). State CE requirements for renewal.</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$70,000–$100,000 / yr. Specialties (sports medicine, neurological, pediatric) and private practice ownership command more. Travel PT: $80,000–$130,000+.</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Evaluate patients through movement analysis and musculoskeletal assessment. Develop individualized treatment plans. Perform manual therapy, therapeutic exercise, and modalities. Progress and modify treatment based on patient response. Educate patients in home exercise programs. Collaborate with physicians, orthopedic surgeons, and rheumatologists. Supervise physical therapy assistants.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Exercise therapy is among the most important treatments for ankylosing spondylitis – more evidence-backed than many medications. Jordan’s PT evaluated his posture, spinal mobility, and SI joint function, then designed a program of spinal extension exercises and breathing techniques specific to AS. Without this, Jordan’s spine could gradually fuse in a flexed position over decades. The PT’s intervention today shapes the arc of his entire future health.</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Musculoskeletal anatomy and biomechanics. Manual therapy techniques. Exercise prescription and progression. Patient motivation and coaching. Outcome measurement and documentation. Interdisciplinary communication.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love movement science and the body – how it works and how it heals. You want clinical autonomy and doctoral-level expertise without becoming a physician. You get energy from working intensely with patients over weeks and months to achieve rehabilitation goals. You believe in the healing power of movement.</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Pharmacist (PharmD)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Doctor of Pharmacy (PharmD): 4 years post-bachelor’s (6–8 years total depending on pathway). Pharmacy school prerequisites: 2–4 years of undergraduate science. Residency (PGY1/PGY2): 1–2 years for clinical or specialty practice roles.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NAPLEX national licensure exam required after PharmD. MPJE law exam required in most states. State pharmacist licensure required. Specialty board certifications (BCPS, BCOP, BCACP, etc.) for advanced practice.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$120,000–$160,000 / yr nationally. Clinical and specialty pharmacy (oncology, critical care, transplant) typically at the higher end. Retail management and independent pharmacy ownership vary widely.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Review and verify prescription orders for accuracy, interactions, and appropriateness. Counsel patients on new medications and side effects. Collaborate with physicians on drug selection and dosing. Monitor therapeutic drug levels and adjust regimens. Manage specialty medication programs. Conduct medication therapy management (MTM) visits. Supervise pharmacy technicians.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The pharmacist served two pivotal roles. First, at the pharmacy counter that morning, Raj recognized that Jordan’s symptoms were not simple pink eye and redirected him to urgent care – a two-minute conversation that changed the arc of Jordan’s entire day. Later, when Jordan was on prednisolone eye drops, cyclopentolate, and naproxen, the pharmacist reviewed his full medication list and flagged the NSAID-GI interaction, recommending proton pump inhibitor coverage.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Pharmacology and therapeutics. Drug interaction analysis. Patient counseling. Clinical decision-making in collaboration with prescribers. Specialty pharmacy operations. Team leadership and supervision.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are fascinated by medications – how they work, how they interact, and how to use them optimally. You want doctoral-level clinical expertise and significant responsibility. You’re drawn to both the science and the human element of care. You want a healthcare career with exceptional job stability and variety of settings.</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Optometrist (OD)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Doctor of Optometry (OD): 4 years of optometry school post-bachelor’s (8 years total). Optometry school is highly competitive. Residency (1 year) optional but recommended for specialty practice (ocular disease, pediatrics, low vision).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NBEO national board exams (3 parts) required for licensure. State licensure required in all 50 states. Scope of practice varies by state. CE required for renewal.</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$110,000–$160,000 / yr. Private practice ownership can substantially increase earnings. Academic and hospital-based positions vary.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Perform comprehensive eye exams including refraction, tonometry, and slit-lamp evaluation. Diagnose and manage ocular diseases (glaucoma, diabetic retinopathy, dry eye, uveitis). Prescribe glasses, contact lenses, and ocular medications. Co-manage surgical patients with ophthalmologists. Provide emergency eye care. Educate patients on eye health maintenance.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The optometrist was the first clinician to use a slit lamp and found 2+ cells and flare in Jordan’s anterior chamber – the hallmark finding of anterior uveitis. She also detected the early posterior synechiae forming, a warning sign requiring urgent co-management. Additionally, she discovered Jordan’s undiagnosed myopia and prescribed corrective lenses. Her dual contributions – treating the disease and correcting the refractive error – illustrate the full breadth of optometric practice.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Ocular anatomy, physiology, and pharmacology. Slit-lamp and funduscopic examination. Refraction and contact lens fitting. Ocular disease diagnosis and management. Patient communication and education.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want to be a primary care specialist – the first doctor patients see for eye concerns – with the depth of knowledge to manage both disease and vision correction. You’re drawn to the specialized clinical world of the eye. You want doctoral-level expertise and private practice autonomy.</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Registered Dietitian (RD / RDN)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Bachelor’s degree in Nutrition or Dietetics: 4 years. Accredited supervised practice program (dietetic internship): 1,200+ hours. RDN national registration exam (Commission on Dietetic Registration).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RDN credential from Commission on Dietetic Registration. Some states have additional state licensure (LD, LDN). CE required for renewal.</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$55,000–$85,000 / yr. Clinical dietitians in hospitals, outpatient specialty clinics, and private practice. Sports nutrition and disordered eating specialties can command higher fees.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Conduct detailed nutritional assessments (dietary history, labs, anthropometrics). Develop individualized medical nutrition therapy plans. Educate patients on specific therapeutic diets (renal, cardiac, anti-inflammatory, tube feeding). Monitor nutritional status in hospitalized or chronically ill patients. Collaborate with multidisciplinary teams on care planning.</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Jordan’s GI symptoms – loose stools, abdominal cramping – in the context of HLA-B27 positivity raised concern for subclinical inflammatory bowel disease. The dietitian assessed his symptoms, discussed anti-inflammatory dietary patterns, and counseled him to minimize processed foods and high-glycemic carbohydrates while emphasizing omega-3-rich foods. She also counseled him on protecting his GI tract while taking long-term NSAIDs.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Medical nutrition therapy for complex diseases. Nutritional biochemistry and metabolism. Behavioral change counseling. Interdisciplinary care team communication. Food systems and public health nutrition.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believe food is medicine and want to practice that belief in a rigorous clinical framework. You’re interested in biochemistry and metabolism but also in the human relationship and behavioral aspects of dietary change. You want a clinical role that doesn’t require years of doctoral training and can be practiced independently.</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Research Scientist (PhD / MD-PhD)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PhD: 5–7 years post-bachelor’s in basic or translational science. MD-PhD (physician-scientist): 7–9 years (combined program). Postdoctoral training: 2–5 additional years typically required before independent faculty position.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No licensure required for non-clinical research. MD licensure required for the physician side of an MD-PhD. Many scientists seek NIH or industry grants to fund independent laboratories.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Graduate student stipend: $25,000–$35,000 / yr. Postdoc: $50,000–$65,000 / yr. Independent faculty: $80,000–$150,000+ depending on institution. Pharmaceutical/biotech industry scientists: $100,000–$180,000+.</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Design and conduct experiments in basic science, translational, or clinical research. Write grants to secure funding. Analyze data and interpret results. Write and publish scientific papers. Mentor trainees and students. Collaborate with clinical partners to translate bench findings to bedside applications. Present at national and international conferences.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Every treatment in Jordan’s case – prednisolone eye drops, NSAIDs, anti-TNF or anti-IL-17 biologics – exists because research scientists spent decades unraveling why HLA-B27 causes immune dysregulation, how uveitis progresses, and which molecular targets can interrupt the inflammatory cascade. The research scientist offers a ‘zoom out’ encounter: explaining how basic science translates to the treatments Jordan is receiving today.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Experimental design and scientific methodology. Statistical analysis and data interpretation. Grant writing and scientific communication. Laboratory management. Hypothesis generation and creative scientific thinking.</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are deeply driven by curiosity about how biological systems work and why they fail. You’re willing to commit to a long training pathway for the chance to make discoveries that affect millions of patients you’ll never personally meet. You find meaning in being an origin point – the place where new treatments begin.</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Radiologist (MD / DO)</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Medical school (MD/DO): 4 years. Diagnostic Radiology residency: 4 years. Fellowship (musculoskeletal, neuroradiology, interventional, breast imaging, etc.): 1–2 additional years. Subspecialty board certification available.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Medical licensure in each state where practicing. ABR (American Board of Radiology) board certification. Fellowship CAQ certificates for subspecialties.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$350,000–$550,000+ / yr. Interventional radiology and neuroradiology at the high end. One of the highest-compensated physician specialties.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Interpret high volumes of imaging studies (X-rays, CT, MRI, ultrasound, nuclear medicine). Dictate structured reports for referring clinicians. Perform image-guided procedures (biopsies, drainages, vascular interventions). Consult with clinical teams on imaging findings and next steps. Teach residents and fellows. Participate in multidisciplinary conferences (tumor boards, MSK rounds).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Jordan’s sacroiliac joint X-rays showed subtle bilateral SI joint sclerosis – an early finding of ankylosing spondylitis that requires a trained eye to detect. His lumbar MRI showed bone marrow edema at the SI joints – the earliest MRI finding of inflammatory sacroiliitis – detectable only using STIR sequences. The radiologist’s detailed report told the rheumatologist not just that something was abnormal, but precisely what and where, guiding the treatment decision.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Cross-sectional anatomy and pathology recognition. Report writing and clinical communication. Image-guided procedural techniques. Quality and safety in radiology. Teaching and mentorship.</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are fascinated by the hidden anatomy inside the body and have an exceptional spatial and pattern-recognition mind. You want a physician career with high intellectual complexity but limited direct patient interaction. You’re drawn to the idea of being the doctor other doctors call when they need answers about imaging.</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Ophthalmologist (MD / DO)</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Medical school: 4 years. Ophthalmology residency: 3 years. Fellowship (retina, cornea, glaucoma, oculoplastics, pediatric, neuro-ophthalmology): 1–2 additional years. One of the most competitive residency matches.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Medical licensure. ABO (American Board of Ophthalmology) board certification. Fellowship subspecialty certification.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$250,000–$450,000+ / yr. Retinal surgeons and LASIK/refractive subspecialists at the higher end. One of the top-compensated physician specialties.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Perform comprehensive eye exams on complex patients. Diagnose and manage serious ocular diseases: uveitis, glaucoma, retinal detachment, diabetic retinopathy, corneal disease. Perform surgery: cataract extraction, retinal surgery, trabeculectomy, corneal transplant, strabismus correction, oculoplastic procedures. Manage patients with systemic diseases affecting the eye. Interpret ocular imaging (OCT, fundus photography, visual fields).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As Jordan’s uveitis worsened beyond what the optometrist could safely manage alone, the ophthalmologist became the anchor of his eye care. She confirmed the diagnosis, detected the developing posterior synechiae, ordered OCT to check for macular edema, and co-managed the corticosteroid taper. Should Jordan develop more severe or recurrent uveitis, she would consider periocular steroid injections, immunosuppressive eye drops, or systemic biologics specifically for ocular disease.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Ocular surgery and microsurgical technique. Advanced imaging interpretation. Complex medical management of ocular disease. Managing patients across entire lifespans. High-stakes decision-making under pressure.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want the full package: a physician career with exceptional technical demands, surgical mastery, deep specialty knowledge, and meaningful patient relationships. You’re comfortable with the long training pathway and drawn to the eye – a unique organ at the intersection of neurology, immunology, and optics.</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Rheumatologist (MD / DO)</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Medical school: 4 years. Internal Medicine residency: 3 years. Rheumatology fellowship: 2 years (one of the longer subspecialty fellowships). Board certification in internal medicine followed by rheumatology subspecialty certification.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Medical licensure. ABIM board certification in Internal Medicine, then Rheumatology subspecialty certification.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$200,000–$350,000 / yr. Academic vs. private practice significant variation. One of the most intellectually complex but not highest-compensated medical specialties.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Evaluate patients with inflammatory arthritis, autoimmune disease, and connective tissue disorders. Interpret complex labs (ANA, RF, ANCA, complement, HLA testing). Perform joint exams and procedures (joint aspiration, injections). Initiate and monitor DMARDs and biologic therapies. Co-manage patients with nephrologists, pulmonologists, cardiologists, and ophthalmologists. Teach in academic settings. Stay current with rapidly evolving biologic therapies.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The rheumatologist formally diagnosed Jordan’s ankylosing spondylitis, synthesizing the HLA-B27 positivity, morning back stiffness, SI joint imaging, and uveitis into a coherent clinical picture. She initiated NSAID therapy, discussed the evidence for exercise, counseled Jordan on the trajectory of AS, and initiated biologic therapy – starting a treatment relationship that will likely span the next 30 years.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Complex laboratory interpretation. Musculoskeletal and systemic examination. Biologic therapy selection and monitoring. Long-term therapeutic relationships. Teaching and mentorship.</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are drawn to the most diagnostically complex cases in medicine – diseases that don’t fit neatly into one organ system and require synthesizing information from across the body. You want to become an expert in a field where your patients live with their disease for decades and your relationship with them is genuinely long-term.</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Primary Care Physician (MD / DO)</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Medical school: 4 years. Family Medicine or Internal Medicine residency: 3 years. ABFM or ABIM board certification. Fellowship optional (geriatrics, sports medicine, hospice and palliative care, etc.).</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Medical licensure in each state of practice. ABFM or ABIM board certification with maintenance of certification (MOC) requirements. DEA registration for controlled substances.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$200,000–$280,000 / yr. Primary care is lower-compensated than most procedural specialties but direct primary care (DPC) and value-based care models are changing this landscape.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Manage acute and chronic conditions for a patient panel of 1,500–2,500 patients. Coordinate preventive care (screenings, vaccinations, wellness visits). Manage complex polypharmacy in older patients. Serve as the quarterback for patients with multiple specialists. Address mental health, substance use, and social determinants of health. Build longitudinal relationships across patients’ entire lives.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The primary care clinician was the critical ‘dot connector’ – the clinician who noticed that the eye complaint, the back pain, and the GI symptoms were part of a single coherent picture and ordered the HLA-B27 test that linked them all. Without this systemic thinking, Jordan might have been treated symptomatically for years without a diagnosis. Primary care is where whole-patient thinking saves lives.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Broad clinical knowledge across all organ systems. Long-term patient relationship building. Care coordination and specialist communication. Preventive medicine and population health. Systems navigation and advocacy.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want to know everything about everyone – to be the doctor who sees the whole human being across their entire lifespan. You’re comfortable with ambiguity and love the diagnostic puzzle of undifferentiated illness. You’re motivated by relationships as much as by science. You believe that primary care is the foundation of a just healthcare system.</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Lab Technician (MLT)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Associate degree in Medical Laboratory Technology: 2 years. Clinical rotation required. AMT or ASCP MLT certification exam required by most employers.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MLT(ASCP) or MLT(AMT) certification. Some states require additional licensure. CE required for renewal.</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$40,000–$58,000 / yr. Hospital lab technicians often have shift differentials for nights and weekends that meaningfully increase earnings.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Process incoming specimens (blood, urine, tissue, CSF). Run hematology and basic chemistry analyzers. Prepare specimens for specialized testing. Perform blood typing and cross-matching. Report results under supervision of MLS and pathologists. Maintain analyzer calibration and quality control logs.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Before the Medical Lab Scientist could perform Jordan’s HLA-B27 test, a lab technician processed his blood sample: receiving, labeling, centrifuging, and aliquoting it into the appropriate tubes for each test ordered. Accurate labeling and sample handling are foundational – an error at this step could delay diagnosis or, in other settings, have serious patient safety consequences.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Specimen processing and handling. Basic laboratory analyzer operation. Quality control fundamentals. Attention to detail and accuracy under pressure. Teamwork in a busy laboratory environment.</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You’re interested in the science of clinical diagnosis but prefer a focused, technical role with clear procedures. You like working with precision instruments in a structured environment. You want to enter healthcare science quickly with a 2-year degree and potentially advance to MLS with further education.</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Health Insurance Executive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No single required path, but most senior executives hold an advanced degree – often in combination. Common combinations include MD/MBA, PharmD/MBA, MD/MPH, or JD/MBA. Undergraduate degrees in biology, economics, public health, or business provide a foundation. Entry-level analyst and associate roles are accessible with a bachelor’s or master’s degree in health policy, public health, health administration, or a quantitative field. The fastest route to executive leadership typically involves a clinical credential plus a business degree, giving credibility on both sides of the table.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No clinical licensure required for non-clinical roles. Executives with an MD or PharmD who remain active in clinical practice maintain state licensure. Business credentials (MBA, MHA) are earned through degree programs rather than licensure exams. Relevant certifications include the Fellow of the American College of Healthcare Executives (FACHE) and various managed care credentials through the America’s Health Insurance Plans (AHIP) training programs.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Entry-level analyst: $60,000–$90,000 / yr. Manager and director level: $100,000–$180,000 / yr. VP level: $200,000–$400,000 / yr. Chief Medical Officer and C-suite at major national health plans: $400,000–$1,000,000+. Significant variation by plan size, geography, and whether the role includes executive leadership of clinical programs.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Review pharmacy and medical spend data and identify trends requiring strategic response. Lead or participate in clinical criteria review committees with medical directors and clinical advisors. Negotiate rebate and formulary agreements with pharmaceutical manufacturers. Present coverage strategy to the benefits steering committee or board. Review appeals data for systematic patterns indicating policy gaps. Engage with state or federal regulators on proposed coverage mandates. Consult with actuarial, legal, and government affairs teams on the downstream implications of policy changes. Field escalations from the clinical affairs team when individual patient cases expose systemic issues.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Three months before Jordan was diagnosed, Dana Chen made a coverage decision in a boardroom he will never enter. Facing data showing that the plan’s step therapy requirement for biologics was causing a 4.2-month average delay in access for patients with concurrent uveitis, Dana built an expedited approval pathway for that specific clinical subgroup. When Jordan’s rheumatologist submitted his prior authorization, the new pathway was in place. His approval took 72 hours. Without Dana’s decision, it would have taken months – during which his uveitis would have continued to damage his eye.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Clinical evidence evaluation and translation into policy criteria. Financial modeling and actuarial interpretation. Regulatory knowledge across state and federal insurance law. Negotiation with pharmaceutical, hospital, and physician stakeholders. Strategic planning across multi-year benefit design cycles. Leadership of multidisciplinary teams including clinicians, lawyers, and financial analysts. Data interpretation at population scale. Stakeholder communication from patient advocates to elected officials.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want to work in healthcare at a scale where your decisions affect millions of people rather than one patient at a time. You are genuinely fascinated by the intersection of clinical medicine, financial sustainability, and public policy. You can hold the tension between fiduciary responsibility and patient access without collapsing one into the other. You find the invisibility of systemic impact – you will rarely know the name of a patient whose care you improved – acceptable or even energizing. You want a career that combines the authority of clinical training with the leverage of strategic and organizational leadership.</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BioPharma Executive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Senior roles typically require an advanced clinical or scientific degree – PharmD, MD/DO, or PhD in a life science field – often combined with an MBA. Entry-level industry positions are accessible earlier: Medical Science Liaison (MSL) roles require a PharmD, MD, or PhD; clinical affairs and regulatory affairs roles are accessible with a master’s or doctoral degree in a relevant field; market research and health economics roles can be entered with a master’s in public health, economics, or health policy. Many executives begin in a clinical or MSL role and build toward management over 8–15 years. Some come from academia or government (FDA, NIH) with deep scientific or regulatory expertise.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No clinical licensure required for most industry roles. Executives with a PharmD or MD who remain clinically active maintain state licensure. Scientific credentials (PhD, PharmD, MD) are earned through academic programs. The Regulatory Affairs Certification (RAC) through the Regulatory Affairs Professionals Society (RAPS) is valued for regulatory-track executives. Medical affairs professionals may hold board certification in their clinical specialty alongside their industry role.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Medical Science Liaison (entry-level industry): $90,000–$130,000 / yr. Director level in medical affairs, market access, or clinical development: $150,000–$220,000 / yr. VP level: $250,000–$450,000 / yr. C-suite (Chief Medical Officer, Chief Commercial Officer) at major biopharmaceutical companies: $500,000–$2,000,000+, often including substantial equity compensation.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Review pipeline data from ongoing clinical trials and assess regulatory strategy implications. Meet with the market access team to review payer coverage decisions and adjust the formulary positioning strategy for an approved product. Consult with medical affairs on a physician education initiative for a newly approved indication. Review patient assistance program enrollment data and identify enrollment drop-off points. Participate in a pricing strategy session with finance, legal, and government affairs. Present to the executive leadership team on the competitive landscape for a molecule in Phase 2. Field an incoming call from a large health plan’s medical director requesting a peer-to-peer discussion about coverage criteria for a biologic. Review a draft congressional testimony on pharmaceutical pricing transparency legislation.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Jordan’s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Two years before Jordan was diagnosed, James Park made a strategic decision that would directly shape whether Jordan could access his medication. Seeing data that the patient assistance program was reaching only 23% of eligible patients – with a 31% dropout rate between prescription and first dose – James rebuilt the program around a navigator model that proactively guides patients through enrollment. When Jordan’s social worker made the call, the navigator already had his information from the specialty pharmacy. Enrollment took 12 minutes. First dose shipped 4 days later. James was simultaneously developing the next-generation biologic that Jordan may eventually need if his current therapy stops working.</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Pharmaceutical science and clinical evidence interpretation. Regulatory affairs and FDA submission strategy. Payer negotiation and health economics modeling. Patient access program design and operational management. Pipeline strategy and portfolio management. Cross-functional leadership across scientific, commercial, legal, and policy teams. Stakeholder engagement with clinicians, patient advocates, payers, and government officials. Ethical reasoning under competing commercial and patient-centered incentives.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want to work in healthcare at the place where scientific discovery becomes patient access – and where the gap between those two things is still enormous. You can hold ethical complexity without either dismissing it or being immobilized by it: the financial incentives and patient-centered imperatives in this industry are genuinely in tension, and this career requires navigating that tension daily with integrity. You are motivated by the scale of impact that comes from decisions affecting not one patient but the conditions under which millions of patients can access treatment. You find business strategy, regulatory science, and clinical evidence equally interesting, and you want a career that requires all three.</w:t>
            </w:r>
          </w:p>
        </w:tc>
      </w:tr>
    </w:tbl>
    <w:p>
      <w:pPr>
        <w:spacing w:after="80"/>
      </w:pPr>
      <w:r>
        <w:t xml:space="preserve"/>
      </w:r>
    </w:p>
    <w:p>
      <w:pPr>
        <w:spacing w:after="80"/>
      </w:pPr>
      <w:r>
        <w:t xml:space="preserve"/>
      </w:r>
    </w:p>
    <w:p>
      <w:pPr>
        <w:spacing w:after="80"/>
      </w:pPr>
      <w:r>
        <w:t xml:space="preserv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1F3864"/>
      <w:sz w:val="32"/>
      <w:szCs w:val="32"/>
    </w:rPr>
  </w:style>
  <w:style w:type="paragraph" w:styleId="Heading2">
    <w:name w:val="Heading 2"/>
    <w:basedOn w:val="Normal"/>
    <w:next w:val="Normal"/>
    <w:qFormat/>
    <w:pPr>
      <w:spacing w:before="360" w:after="180"/>
      <w:outlineLvl w:val="1"/>
    </w:pPr>
    <w:rPr>
      <w:rFonts w:ascii="Arial" w:cs="Arial" w:eastAsia="Arial" w:hAnsi="Arial"/>
      <w:b/>
      <w:bCs/>
      <w:color w:val="2E75B6"/>
      <w:sz w:val="28"/>
      <w:szCs w:val="28"/>
    </w:rPr>
  </w:style>
  <w:style w:type="paragraph" w:styleId="Heading3">
    <w:name w:val="Heading 3"/>
    <w:basedOn w:val="Normal"/>
    <w:next w:val="Normal"/>
    <w:qFormat/>
    <w:pPr>
      <w:spacing w:before="240" w:after="12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image" Target="media/logo.png"/></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2026-03-30T19:00:09.383Z</dcterms:created>
  <dcterms:modified xsi:type="dcterms:W3CDTF">2026-03-30T19:00:09.440Z</dcterms:modified>
</cp:coreProperties>
</file>

<file path=docProps/custom.xml><?xml version="1.0" encoding="utf-8"?>
<Properties xmlns="http://schemas.openxmlformats.org/officeDocument/2006/custom-properties" xmlns:vt="http://schemas.openxmlformats.org/officeDocument/2006/docPropsVTypes"/>
</file>